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82" w:type="dxa"/>
        <w:jc w:val="center"/>
        <w:tblLook w:val="04A0" w:firstRow="1" w:lastRow="0" w:firstColumn="1" w:lastColumn="0" w:noHBand="0" w:noVBand="1"/>
      </w:tblPr>
      <w:tblGrid>
        <w:gridCol w:w="4395"/>
        <w:gridCol w:w="9087"/>
      </w:tblGrid>
      <w:tr w:rsidR="00790C1C" w:rsidRPr="00790C1C" w14:paraId="381B794E" w14:textId="77777777" w:rsidTr="00D96BED">
        <w:trPr>
          <w:trHeight w:val="856"/>
          <w:jc w:val="center"/>
        </w:trPr>
        <w:tc>
          <w:tcPr>
            <w:tcW w:w="4395" w:type="dxa"/>
          </w:tcPr>
          <w:p w14:paraId="21B8BF37" w14:textId="77777777" w:rsidR="00A1344C" w:rsidRPr="00790C1C" w:rsidRDefault="00A1344C" w:rsidP="00910AE2">
            <w:pPr>
              <w:pageBreakBefore/>
              <w:widowControl w:val="0"/>
              <w:tabs>
                <w:tab w:val="left" w:pos="9360"/>
              </w:tabs>
              <w:jc w:val="center"/>
              <w:rPr>
                <w:rFonts w:eastAsia="Calibri"/>
                <w:b/>
              </w:rPr>
            </w:pPr>
            <w:r w:rsidRPr="00790C1C">
              <w:rPr>
                <w:b/>
              </w:rPr>
              <w:t>ỦY BAN NHÂN DÂN</w:t>
            </w:r>
          </w:p>
          <w:p w14:paraId="478C5D39" w14:textId="77777777" w:rsidR="00A1344C" w:rsidRPr="00790C1C" w:rsidRDefault="00A1344C" w:rsidP="00910AE2">
            <w:pPr>
              <w:widowControl w:val="0"/>
              <w:tabs>
                <w:tab w:val="left" w:pos="9360"/>
              </w:tabs>
              <w:jc w:val="center"/>
            </w:pPr>
            <w:r w:rsidRPr="00790C1C">
              <w:rPr>
                <w:b/>
              </w:rPr>
              <w:t>TỈNH BẮC NINH</w:t>
            </w:r>
          </w:p>
          <w:p w14:paraId="6EE12F0B" w14:textId="77777777" w:rsidR="00A1344C" w:rsidRPr="00790C1C" w:rsidRDefault="00617835" w:rsidP="00910AE2">
            <w:pPr>
              <w:widowControl w:val="0"/>
              <w:tabs>
                <w:tab w:val="center" w:pos="1701"/>
                <w:tab w:val="center" w:pos="6379"/>
                <w:tab w:val="left" w:pos="9360"/>
              </w:tabs>
              <w:jc w:val="center"/>
            </w:pPr>
            <w:r w:rsidRPr="00790C1C">
              <w:rPr>
                <w:noProof/>
              </w:rPr>
              <mc:AlternateContent>
                <mc:Choice Requires="wps">
                  <w:drawing>
                    <wp:anchor distT="4294967291" distB="4294967291" distL="114300" distR="114300" simplePos="0" relativeHeight="251659264" behindDoc="0" locked="0" layoutInCell="1" allowOverlap="1" wp14:anchorId="4FFCE9B2" wp14:editId="6B2A2A6F">
                      <wp:simplePos x="0" y="0"/>
                      <wp:positionH relativeFrom="column">
                        <wp:posOffset>975360</wp:posOffset>
                      </wp:positionH>
                      <wp:positionV relativeFrom="paragraph">
                        <wp:posOffset>40005</wp:posOffset>
                      </wp:positionV>
                      <wp:extent cx="542925" cy="0"/>
                      <wp:effectExtent l="0" t="0" r="146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843C4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8pt,3.15pt" to="119.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"/>
                  </w:pict>
                </mc:Fallback>
              </mc:AlternateContent>
            </w:r>
          </w:p>
        </w:tc>
        <w:tc>
          <w:tcPr>
            <w:tcW w:w="9087" w:type="dxa"/>
          </w:tcPr>
          <w:p w14:paraId="4FD6A2F2" w14:textId="77777777" w:rsidR="00A1344C" w:rsidRPr="00790C1C" w:rsidRDefault="00A1344C" w:rsidP="00910AE2">
            <w:pPr>
              <w:widowControl w:val="0"/>
              <w:tabs>
                <w:tab w:val="center" w:pos="1701"/>
                <w:tab w:val="center" w:pos="6379"/>
                <w:tab w:val="left" w:pos="9360"/>
              </w:tabs>
              <w:jc w:val="center"/>
              <w:rPr>
                <w:rFonts w:eastAsia="Calibri"/>
                <w:b/>
                <w:sz w:val="26"/>
                <w:szCs w:val="26"/>
              </w:rPr>
            </w:pPr>
            <w:r w:rsidRPr="00790C1C">
              <w:rPr>
                <w:b/>
                <w:sz w:val="26"/>
                <w:szCs w:val="26"/>
              </w:rPr>
              <w:t>CỘNG HÒA XÃ HỘI CHỦ NGHĨA VIỆT NAM</w:t>
            </w:r>
          </w:p>
          <w:p w14:paraId="7835F1C1" w14:textId="77777777" w:rsidR="00A1344C" w:rsidRPr="00790C1C" w:rsidRDefault="00A1344C" w:rsidP="00910AE2">
            <w:pPr>
              <w:widowControl w:val="0"/>
              <w:tabs>
                <w:tab w:val="center" w:pos="1701"/>
                <w:tab w:val="center" w:pos="6379"/>
                <w:tab w:val="left" w:pos="9360"/>
              </w:tabs>
              <w:jc w:val="center"/>
              <w:rPr>
                <w:b/>
                <w:sz w:val="28"/>
                <w:szCs w:val="28"/>
              </w:rPr>
            </w:pPr>
            <w:r w:rsidRPr="00790C1C">
              <w:rPr>
                <w:b/>
                <w:sz w:val="28"/>
                <w:szCs w:val="28"/>
              </w:rPr>
              <w:t>Độc lập - Tự do - Hạnh phúc</w:t>
            </w:r>
          </w:p>
          <w:p w14:paraId="48888322" w14:textId="77777777" w:rsidR="00A1344C" w:rsidRPr="00790C1C" w:rsidRDefault="00617835" w:rsidP="00910AE2">
            <w:pPr>
              <w:widowControl w:val="0"/>
              <w:tabs>
                <w:tab w:val="center" w:pos="1701"/>
                <w:tab w:val="center" w:pos="6379"/>
                <w:tab w:val="left" w:pos="9360"/>
              </w:tabs>
              <w:jc w:val="center"/>
              <w:rPr>
                <w:b/>
              </w:rPr>
            </w:pPr>
            <w:r w:rsidRPr="00790C1C">
              <w:rPr>
                <w:noProof/>
              </w:rPr>
              <mc:AlternateContent>
                <mc:Choice Requires="wps">
                  <w:drawing>
                    <wp:anchor distT="4294967292" distB="4294967292" distL="114300" distR="114300" simplePos="0" relativeHeight="251660288" behindDoc="0" locked="0" layoutInCell="1" allowOverlap="1" wp14:anchorId="31A774AB" wp14:editId="3C002EBB">
                      <wp:simplePos x="0" y="0"/>
                      <wp:positionH relativeFrom="column">
                        <wp:posOffset>1989455</wp:posOffset>
                      </wp:positionH>
                      <wp:positionV relativeFrom="paragraph">
                        <wp:posOffset>46990</wp:posOffset>
                      </wp:positionV>
                      <wp:extent cx="16954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765475" id="Straight Connector 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6.65pt,3.7pt" to="290.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CtgEAAFIDAAAOAAAAZHJzL2Uyb0RvYy54bWysU01v2zAMvQ/YfxB0X5wES7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"/>
                  </w:pict>
                </mc:Fallback>
              </mc:AlternateContent>
            </w:r>
          </w:p>
        </w:tc>
      </w:tr>
    </w:tbl>
    <w:p w14:paraId="110989E5" w14:textId="2F6C949D" w:rsidR="00A1344C" w:rsidRPr="00790C1C" w:rsidRDefault="00A1344C" w:rsidP="00A1344C">
      <w:pPr>
        <w:widowControl w:val="0"/>
        <w:spacing w:before="120"/>
        <w:jc w:val="center"/>
        <w:rPr>
          <w:b/>
          <w:sz w:val="28"/>
          <w:szCs w:val="28"/>
        </w:rPr>
      </w:pPr>
      <w:r w:rsidRPr="00790C1C">
        <w:rPr>
          <w:b/>
          <w:sz w:val="28"/>
          <w:szCs w:val="28"/>
        </w:rPr>
        <w:t xml:space="preserve">Phụ lục </w:t>
      </w:r>
    </w:p>
    <w:p w14:paraId="35FBC087" w14:textId="2229D34B" w:rsidR="00A1344C" w:rsidRPr="00790C1C" w:rsidRDefault="00A22E21" w:rsidP="00A1344C">
      <w:pPr>
        <w:widowControl w:val="0"/>
        <w:ind w:left="720" w:firstLine="720"/>
        <w:jc w:val="center"/>
        <w:rPr>
          <w:b/>
          <w:sz w:val="28"/>
          <w:szCs w:val="28"/>
        </w:rPr>
      </w:pPr>
      <w:r>
        <w:rPr>
          <w:b/>
          <w:sz w:val="28"/>
          <w:szCs w:val="28"/>
        </w:rPr>
        <w:t xml:space="preserve">DANH MỤC TTHC MỚI BAN HÀNH VÀ </w:t>
      </w:r>
      <w:r w:rsidR="00A1344C" w:rsidRPr="00790C1C">
        <w:rPr>
          <w:b/>
          <w:sz w:val="28"/>
          <w:szCs w:val="28"/>
        </w:rPr>
        <w:t xml:space="preserve">QUY TRÌNH NỘI BỘ TRONG GIẢI QUYẾT THỦ TỤC </w:t>
      </w:r>
      <w:r w:rsidR="00A24CB1">
        <w:rPr>
          <w:b/>
          <w:sz w:val="28"/>
          <w:szCs w:val="28"/>
        </w:rPr>
        <w:br/>
      </w:r>
      <w:r w:rsidR="00A1344C" w:rsidRPr="00790C1C">
        <w:rPr>
          <w:b/>
          <w:sz w:val="28"/>
          <w:szCs w:val="28"/>
        </w:rPr>
        <w:t xml:space="preserve">HÀNH CHÍNH THUỘC THẨM QUYỀN QUYẾT ĐỊNH CỦA UBND TỈNH LĨNH VỰC </w:t>
      </w:r>
      <w:r>
        <w:rPr>
          <w:b/>
          <w:sz w:val="28"/>
          <w:szCs w:val="28"/>
        </w:rPr>
        <w:t>SỞ HỮU TRÍ TUỆ</w:t>
      </w:r>
      <w:r w:rsidR="00A1344C" w:rsidRPr="00790C1C">
        <w:rPr>
          <w:b/>
          <w:sz w:val="28"/>
          <w:szCs w:val="28"/>
        </w:rPr>
        <w:t xml:space="preserve"> THUỘC</w:t>
      </w:r>
      <w:r w:rsidR="00D96BED" w:rsidRPr="00790C1C">
        <w:rPr>
          <w:b/>
          <w:sz w:val="28"/>
          <w:szCs w:val="28"/>
        </w:rPr>
        <w:t xml:space="preserve"> </w:t>
      </w:r>
      <w:r w:rsidR="00A1344C" w:rsidRPr="00790C1C">
        <w:rPr>
          <w:b/>
          <w:sz w:val="28"/>
          <w:szCs w:val="28"/>
        </w:rPr>
        <w:t>PHẠM VI, CHỨC NĂNG QUẢN LÝ CỦA SỞ KHOA HỌC VÀ CÔNG NGHỆ TỈNH BẮC NINH</w:t>
      </w:r>
    </w:p>
    <w:p w14:paraId="1615C693" w14:textId="0C48FA00" w:rsidR="00FB194B" w:rsidRPr="00790C1C" w:rsidRDefault="00617835" w:rsidP="00FF016A">
      <w:pPr>
        <w:widowControl w:val="0"/>
        <w:tabs>
          <w:tab w:val="center" w:pos="7144"/>
          <w:tab w:val="left" w:pos="13335"/>
        </w:tabs>
        <w:spacing w:after="360"/>
        <w:rPr>
          <w:i/>
          <w:sz w:val="28"/>
          <w:szCs w:val="28"/>
        </w:rPr>
      </w:pPr>
      <w:r w:rsidRPr="00790C1C">
        <w:rPr>
          <w:noProof/>
          <w:sz w:val="28"/>
          <w:szCs w:val="28"/>
        </w:rPr>
        <mc:AlternateContent>
          <mc:Choice Requires="wps">
            <w:drawing>
              <wp:anchor distT="4294967291" distB="4294967291" distL="114300" distR="114300" simplePos="0" relativeHeight="251662336" behindDoc="0" locked="0" layoutInCell="1" allowOverlap="1" wp14:anchorId="54B33565" wp14:editId="7A144BD7">
                <wp:simplePos x="0" y="0"/>
                <wp:positionH relativeFrom="column">
                  <wp:posOffset>3911600</wp:posOffset>
                </wp:positionH>
                <wp:positionV relativeFrom="paragraph">
                  <wp:posOffset>232409</wp:posOffset>
                </wp:positionV>
                <wp:extent cx="1346200" cy="0"/>
                <wp:effectExtent l="0" t="0" r="15875" b="0"/>
                <wp:wrapNone/>
                <wp:docPr id="122019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FF9E32" id="Straight Connector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pt,18.3pt" to="41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"/>
            </w:pict>
          </mc:Fallback>
        </mc:AlternateContent>
      </w:r>
      <w:r w:rsidR="00A1344C" w:rsidRPr="00790C1C">
        <w:rPr>
          <w:i/>
          <w:sz w:val="28"/>
          <w:szCs w:val="28"/>
          <w:lang w:val="vi-VN"/>
        </w:rPr>
        <w:tab/>
        <w:t xml:space="preserve"> (</w:t>
      </w:r>
      <w:r w:rsidR="00A1344C" w:rsidRPr="00790C1C">
        <w:rPr>
          <w:i/>
          <w:sz w:val="28"/>
          <w:szCs w:val="28"/>
        </w:rPr>
        <w:t>K</w:t>
      </w:r>
      <w:r w:rsidR="00A1344C" w:rsidRPr="00790C1C">
        <w:rPr>
          <w:i/>
          <w:sz w:val="28"/>
          <w:szCs w:val="28"/>
          <w:lang w:val="vi-VN"/>
        </w:rPr>
        <w:t>èm theo Quyết định</w:t>
      </w:r>
      <w:r w:rsidR="00A1344C" w:rsidRPr="00790C1C">
        <w:rPr>
          <w:i/>
          <w:sz w:val="28"/>
          <w:szCs w:val="28"/>
        </w:rPr>
        <w:t xml:space="preserve"> số:   </w:t>
      </w:r>
      <w:r w:rsidR="00B112DE" w:rsidRPr="00790C1C">
        <w:rPr>
          <w:i/>
          <w:sz w:val="28"/>
          <w:szCs w:val="28"/>
        </w:rPr>
        <w:t xml:space="preserve">  </w:t>
      </w:r>
      <w:r w:rsidR="00A1344C" w:rsidRPr="00790C1C">
        <w:rPr>
          <w:i/>
          <w:sz w:val="28"/>
          <w:szCs w:val="28"/>
        </w:rPr>
        <w:t xml:space="preserve">   /Q</w:t>
      </w:r>
      <w:r w:rsidR="00A1344C" w:rsidRPr="00790C1C">
        <w:rPr>
          <w:i/>
          <w:sz w:val="28"/>
          <w:szCs w:val="28"/>
          <w:lang w:val="vi-VN"/>
        </w:rPr>
        <w:t>Đ-UBND</w:t>
      </w:r>
      <w:r w:rsidR="00A1344C" w:rsidRPr="00790C1C">
        <w:rPr>
          <w:i/>
          <w:sz w:val="28"/>
          <w:szCs w:val="28"/>
        </w:rPr>
        <w:t xml:space="preserve"> ngày    </w:t>
      </w:r>
      <w:r w:rsidR="00B112DE" w:rsidRPr="00790C1C">
        <w:rPr>
          <w:i/>
          <w:sz w:val="28"/>
          <w:szCs w:val="28"/>
        </w:rPr>
        <w:t xml:space="preserve">  </w:t>
      </w:r>
      <w:r w:rsidR="00A1344C" w:rsidRPr="00790C1C">
        <w:rPr>
          <w:i/>
          <w:sz w:val="28"/>
          <w:szCs w:val="28"/>
        </w:rPr>
        <w:t xml:space="preserve">  /</w:t>
      </w:r>
      <w:r w:rsidR="005943DC" w:rsidRPr="00790C1C">
        <w:rPr>
          <w:i/>
          <w:sz w:val="28"/>
          <w:szCs w:val="28"/>
        </w:rPr>
        <w:t>4</w:t>
      </w:r>
      <w:r w:rsidR="00A1344C" w:rsidRPr="00790C1C">
        <w:rPr>
          <w:i/>
          <w:sz w:val="28"/>
          <w:szCs w:val="28"/>
        </w:rPr>
        <w:t>/202</w:t>
      </w:r>
      <w:r w:rsidR="005943DC" w:rsidRPr="00790C1C">
        <w:rPr>
          <w:i/>
          <w:sz w:val="28"/>
          <w:szCs w:val="28"/>
        </w:rPr>
        <w:t>6</w:t>
      </w:r>
      <w:r w:rsidR="00A1344C" w:rsidRPr="00790C1C">
        <w:rPr>
          <w:i/>
          <w:sz w:val="28"/>
          <w:szCs w:val="28"/>
        </w:rPr>
        <w:t xml:space="preserve"> của </w:t>
      </w:r>
      <w:r w:rsidR="00A1344C" w:rsidRPr="00790C1C">
        <w:rPr>
          <w:i/>
          <w:sz w:val="28"/>
          <w:szCs w:val="28"/>
          <w:lang w:val="vi-VN"/>
        </w:rPr>
        <w:t>Chủ tịch UBND tỉnh Bắc Ninh</w:t>
      </w:r>
      <w:r w:rsidR="00A1344C" w:rsidRPr="00790C1C">
        <w:rPr>
          <w:i/>
          <w:sz w:val="28"/>
          <w:szCs w:val="28"/>
        </w:rPr>
        <w:t>)</w:t>
      </w:r>
    </w:p>
    <w:p w14:paraId="65E019BB" w14:textId="5EC5D570" w:rsidR="00DE06D5" w:rsidRDefault="00DE06D5" w:rsidP="00FD231C">
      <w:pPr>
        <w:widowControl w:val="0"/>
        <w:spacing w:before="240" w:after="240"/>
        <w:jc w:val="both"/>
        <w:rPr>
          <w:b/>
        </w:rPr>
      </w:pPr>
      <w:r>
        <w:rPr>
          <w:b/>
        </w:rPr>
        <w:t>I. Danh mục TTHC mới ban hành</w:t>
      </w: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180"/>
        <w:gridCol w:w="1463"/>
        <w:gridCol w:w="1342"/>
        <w:gridCol w:w="3477"/>
        <w:gridCol w:w="2714"/>
        <w:gridCol w:w="1033"/>
        <w:gridCol w:w="3769"/>
      </w:tblGrid>
      <w:tr w:rsidR="00C676B6" w:rsidRPr="00C676B6" w14:paraId="3B1DA394" w14:textId="77777777" w:rsidTr="00FD231C">
        <w:trPr>
          <w:trHeight w:val="334"/>
        </w:trPr>
        <w:tc>
          <w:tcPr>
            <w:tcW w:w="188" w:type="pct"/>
            <w:vAlign w:val="center"/>
          </w:tcPr>
          <w:p w14:paraId="4E07FB2F" w14:textId="77777777" w:rsidR="00C676B6" w:rsidRPr="00C676B6" w:rsidRDefault="00C676B6" w:rsidP="00CD4ADE">
            <w:pPr>
              <w:widowControl w:val="0"/>
              <w:jc w:val="center"/>
              <w:rPr>
                <w:b/>
              </w:rPr>
            </w:pPr>
            <w:r w:rsidRPr="00C676B6">
              <w:rPr>
                <w:b/>
              </w:rPr>
              <w:t>TT</w:t>
            </w:r>
          </w:p>
        </w:tc>
        <w:tc>
          <w:tcPr>
            <w:tcW w:w="379" w:type="pct"/>
            <w:vAlign w:val="center"/>
          </w:tcPr>
          <w:p w14:paraId="233C1471" w14:textId="77777777" w:rsidR="00C676B6" w:rsidRPr="00C676B6" w:rsidRDefault="00C676B6" w:rsidP="00CD4ADE">
            <w:pPr>
              <w:widowControl w:val="0"/>
              <w:shd w:val="clear" w:color="auto" w:fill="FFFFFF"/>
              <w:jc w:val="center"/>
              <w:rPr>
                <w:b/>
                <w:lang w:val="vi-VN"/>
              </w:rPr>
            </w:pPr>
            <w:r w:rsidRPr="00C676B6">
              <w:rPr>
                <w:b/>
              </w:rPr>
              <w:t>Mã TTHC</w:t>
            </w:r>
          </w:p>
        </w:tc>
        <w:tc>
          <w:tcPr>
            <w:tcW w:w="470" w:type="pct"/>
            <w:vAlign w:val="center"/>
          </w:tcPr>
          <w:p w14:paraId="52E8E8C6" w14:textId="77777777" w:rsidR="00C676B6" w:rsidRPr="00C676B6" w:rsidRDefault="00C676B6" w:rsidP="00CD4ADE">
            <w:pPr>
              <w:widowControl w:val="0"/>
              <w:shd w:val="clear" w:color="auto" w:fill="FFFFFF"/>
              <w:jc w:val="center"/>
              <w:rPr>
                <w:b/>
                <w:lang w:val="vi-VN"/>
              </w:rPr>
            </w:pPr>
            <w:r w:rsidRPr="00C676B6">
              <w:rPr>
                <w:b/>
              </w:rPr>
              <w:t>Tên TTHC</w:t>
            </w:r>
          </w:p>
        </w:tc>
        <w:tc>
          <w:tcPr>
            <w:tcW w:w="431" w:type="pct"/>
            <w:vAlign w:val="center"/>
          </w:tcPr>
          <w:p w14:paraId="4C36D6D6" w14:textId="77777777" w:rsidR="00C676B6" w:rsidRPr="00C676B6" w:rsidRDefault="00C676B6" w:rsidP="00CD4ADE">
            <w:pPr>
              <w:widowControl w:val="0"/>
              <w:shd w:val="clear" w:color="auto" w:fill="FFFFFF"/>
              <w:jc w:val="center"/>
              <w:rPr>
                <w:b/>
                <w:lang w:val="vi-VN"/>
              </w:rPr>
            </w:pPr>
            <w:r w:rsidRPr="00C676B6">
              <w:rPr>
                <w:b/>
              </w:rPr>
              <w:t>Cách thức thực hiện</w:t>
            </w:r>
          </w:p>
        </w:tc>
        <w:tc>
          <w:tcPr>
            <w:tcW w:w="1117" w:type="pct"/>
            <w:vAlign w:val="center"/>
          </w:tcPr>
          <w:p w14:paraId="6EDCA096" w14:textId="77777777" w:rsidR="00C676B6" w:rsidRPr="00C676B6" w:rsidRDefault="00C676B6" w:rsidP="00CD4ADE">
            <w:pPr>
              <w:widowControl w:val="0"/>
              <w:shd w:val="clear" w:color="auto" w:fill="FFFFFF"/>
              <w:jc w:val="center"/>
              <w:rPr>
                <w:b/>
                <w:lang w:val="vi-VN"/>
              </w:rPr>
            </w:pPr>
            <w:r w:rsidRPr="00C676B6">
              <w:rPr>
                <w:b/>
              </w:rPr>
              <w:t>Địa điểm thực hiện</w:t>
            </w:r>
          </w:p>
        </w:tc>
        <w:tc>
          <w:tcPr>
            <w:tcW w:w="872" w:type="pct"/>
            <w:vAlign w:val="center"/>
          </w:tcPr>
          <w:p w14:paraId="21099A52" w14:textId="77777777" w:rsidR="00C676B6" w:rsidRPr="00C676B6" w:rsidRDefault="00C676B6" w:rsidP="00CD4ADE">
            <w:pPr>
              <w:widowControl w:val="0"/>
              <w:shd w:val="clear" w:color="auto" w:fill="FFFFFF"/>
              <w:jc w:val="center"/>
              <w:rPr>
                <w:b/>
                <w:lang w:val="vi-VN"/>
              </w:rPr>
            </w:pPr>
            <w:r w:rsidRPr="00C676B6">
              <w:rPr>
                <w:b/>
              </w:rPr>
              <w:t>Thời hạn giải quyết</w:t>
            </w:r>
          </w:p>
        </w:tc>
        <w:tc>
          <w:tcPr>
            <w:tcW w:w="332" w:type="pct"/>
            <w:vAlign w:val="center"/>
          </w:tcPr>
          <w:p w14:paraId="08721123" w14:textId="77777777" w:rsidR="00C676B6" w:rsidRPr="00C676B6" w:rsidRDefault="00C676B6" w:rsidP="00CD4ADE">
            <w:pPr>
              <w:widowControl w:val="0"/>
              <w:shd w:val="clear" w:color="auto" w:fill="FFFFFF"/>
              <w:jc w:val="center"/>
              <w:rPr>
                <w:b/>
                <w:lang w:val="vi-VN"/>
              </w:rPr>
            </w:pPr>
            <w:r w:rsidRPr="00C676B6">
              <w:rPr>
                <w:b/>
              </w:rPr>
              <w:t>Phí/ lệ phí</w:t>
            </w:r>
          </w:p>
        </w:tc>
        <w:tc>
          <w:tcPr>
            <w:tcW w:w="1211" w:type="pct"/>
            <w:vAlign w:val="center"/>
          </w:tcPr>
          <w:p w14:paraId="1B081AEC" w14:textId="77777777" w:rsidR="00C676B6" w:rsidRPr="00C676B6" w:rsidRDefault="00C676B6" w:rsidP="00CD4ADE">
            <w:pPr>
              <w:widowControl w:val="0"/>
              <w:shd w:val="clear" w:color="auto" w:fill="FFFFFF"/>
              <w:jc w:val="center"/>
              <w:rPr>
                <w:b/>
                <w:bCs/>
              </w:rPr>
            </w:pPr>
            <w:r w:rsidRPr="00C676B6">
              <w:rPr>
                <w:b/>
                <w:bCs/>
              </w:rPr>
              <w:t>Căn cứ pháp lý</w:t>
            </w:r>
          </w:p>
          <w:p w14:paraId="20FD93D9" w14:textId="77777777" w:rsidR="00C676B6" w:rsidRPr="00C676B6" w:rsidRDefault="00C676B6" w:rsidP="00CD4ADE">
            <w:pPr>
              <w:widowControl w:val="0"/>
              <w:shd w:val="clear" w:color="auto" w:fill="FFFFFF"/>
              <w:jc w:val="center"/>
              <w:rPr>
                <w:b/>
                <w:bCs/>
                <w:lang w:val="vi-VN"/>
              </w:rPr>
            </w:pPr>
          </w:p>
        </w:tc>
      </w:tr>
      <w:tr w:rsidR="00C676B6" w:rsidRPr="00C676B6" w14:paraId="7D7B9270" w14:textId="77777777" w:rsidTr="00FD231C">
        <w:trPr>
          <w:trHeight w:val="840"/>
        </w:trPr>
        <w:tc>
          <w:tcPr>
            <w:tcW w:w="188" w:type="pct"/>
            <w:vAlign w:val="center"/>
          </w:tcPr>
          <w:p w14:paraId="7B1943FF" w14:textId="77777777" w:rsidR="00C676B6" w:rsidRPr="00C676B6" w:rsidRDefault="00C676B6" w:rsidP="00C676B6">
            <w:pPr>
              <w:widowControl w:val="0"/>
            </w:pPr>
            <w:r w:rsidRPr="00C676B6">
              <w:t>1</w:t>
            </w:r>
          </w:p>
        </w:tc>
        <w:tc>
          <w:tcPr>
            <w:tcW w:w="379" w:type="pct"/>
            <w:vAlign w:val="center"/>
          </w:tcPr>
          <w:p w14:paraId="6051EBD9" w14:textId="77777777" w:rsidR="00C676B6" w:rsidRPr="00C676B6" w:rsidRDefault="00C676B6" w:rsidP="00C676B6">
            <w:pPr>
              <w:jc w:val="center"/>
            </w:pPr>
          </w:p>
          <w:p w14:paraId="41D1DAF8" w14:textId="77777777" w:rsidR="00C676B6" w:rsidRPr="00C676B6" w:rsidRDefault="00C676B6" w:rsidP="00C676B6">
            <w:pPr>
              <w:jc w:val="center"/>
            </w:pPr>
          </w:p>
          <w:p w14:paraId="2ACA2E97" w14:textId="77777777" w:rsidR="00C676B6" w:rsidRPr="00C676B6" w:rsidRDefault="00C676B6" w:rsidP="00C676B6">
            <w:pPr>
              <w:jc w:val="center"/>
            </w:pPr>
          </w:p>
          <w:p w14:paraId="296A302C" w14:textId="77777777" w:rsidR="00C676B6" w:rsidRPr="00C676B6" w:rsidRDefault="00C676B6" w:rsidP="00C676B6">
            <w:pPr>
              <w:jc w:val="center"/>
            </w:pPr>
          </w:p>
          <w:p w14:paraId="69C6CF3D" w14:textId="77777777" w:rsidR="00C676B6" w:rsidRPr="00C676B6" w:rsidRDefault="00C676B6" w:rsidP="00C676B6">
            <w:pPr>
              <w:jc w:val="center"/>
              <w:rPr>
                <w:bCs/>
              </w:rPr>
            </w:pPr>
          </w:p>
          <w:p w14:paraId="0B094D67" w14:textId="77777777" w:rsidR="00C676B6" w:rsidRPr="00C676B6" w:rsidRDefault="00C676B6" w:rsidP="00C676B6">
            <w:pPr>
              <w:jc w:val="center"/>
            </w:pPr>
          </w:p>
        </w:tc>
        <w:tc>
          <w:tcPr>
            <w:tcW w:w="470" w:type="pct"/>
            <w:vAlign w:val="center"/>
          </w:tcPr>
          <w:p w14:paraId="1A77CA70" w14:textId="2327F127" w:rsidR="00C676B6" w:rsidRPr="00C676B6" w:rsidRDefault="00C676B6" w:rsidP="00C676B6">
            <w:pPr>
              <w:widowControl w:val="0"/>
              <w:shd w:val="clear" w:color="auto" w:fill="FFFFFF"/>
              <w:jc w:val="center"/>
              <w:rPr>
                <w:rFonts w:eastAsiaTheme="majorEastAsia"/>
              </w:rPr>
            </w:pPr>
            <w:r w:rsidRPr="00C676B6">
              <w:rPr>
                <w:color w:val="000000"/>
              </w:rPr>
              <w:t>Thủ tục giải quyết khiếu nại liên quan đến sở hữu công nghiệp</w:t>
            </w:r>
          </w:p>
        </w:tc>
        <w:tc>
          <w:tcPr>
            <w:tcW w:w="431" w:type="pct"/>
            <w:vAlign w:val="center"/>
          </w:tcPr>
          <w:p w14:paraId="39CC0ADA" w14:textId="77777777" w:rsidR="00C676B6" w:rsidRPr="00C676B6" w:rsidRDefault="00C676B6" w:rsidP="00C676B6">
            <w:pPr>
              <w:ind w:hanging="3"/>
              <w:jc w:val="both"/>
              <w:rPr>
                <w:lang w:val="sv-SE"/>
              </w:rPr>
            </w:pPr>
            <w:r w:rsidRPr="00C676B6">
              <w:rPr>
                <w:lang w:val="sv-SE"/>
              </w:rPr>
              <w:t>Thực hiện nộp hồ sơ không phụ thuộc vào địa giới hành chính bằng một trong các hình thức:</w:t>
            </w:r>
          </w:p>
          <w:p w14:paraId="63C92D40" w14:textId="77777777" w:rsidR="00C676B6" w:rsidRPr="00C676B6" w:rsidRDefault="00C676B6" w:rsidP="00C676B6">
            <w:pPr>
              <w:ind w:hanging="3"/>
              <w:jc w:val="both"/>
              <w:rPr>
                <w:lang w:val="sv-SE"/>
              </w:rPr>
            </w:pPr>
            <w:r w:rsidRPr="00C676B6">
              <w:rPr>
                <w:lang w:val="sv-SE"/>
              </w:rPr>
              <w:t xml:space="preserve">- Nộp trực tiếp hoặc qua dịch vụ bưu chính; </w:t>
            </w:r>
          </w:p>
          <w:p w14:paraId="37D9EB35" w14:textId="77777777" w:rsidR="00C676B6" w:rsidRPr="00C676B6" w:rsidRDefault="00C676B6" w:rsidP="00C676B6">
            <w:pPr>
              <w:widowControl w:val="0"/>
              <w:jc w:val="both"/>
              <w:rPr>
                <w:lang w:val="sv-SE"/>
              </w:rPr>
            </w:pPr>
            <w:r w:rsidRPr="00C676B6">
              <w:rPr>
                <w:lang w:val="sv-SE"/>
              </w:rPr>
              <w:t>- Nộp hồ sơ trực tuyến tại địa chỉ https: //dichvucong.gov.vn.</w:t>
            </w:r>
            <w:r w:rsidRPr="00C676B6">
              <w:rPr>
                <w:shd w:val="clear" w:color="auto" w:fill="FFFFFF"/>
              </w:rPr>
              <w:t xml:space="preserve"> </w:t>
            </w:r>
            <w:r w:rsidRPr="00C676B6">
              <w:lastRenderedPageBreak/>
              <w:t>hoặc ứng dụng định danh quốc gia.</w:t>
            </w:r>
          </w:p>
          <w:p w14:paraId="45AB288C" w14:textId="6661321A" w:rsidR="00C676B6" w:rsidRPr="00C676B6" w:rsidRDefault="00C676B6" w:rsidP="00C676B6">
            <w:pPr>
              <w:widowControl w:val="0"/>
              <w:jc w:val="both"/>
            </w:pPr>
          </w:p>
        </w:tc>
        <w:tc>
          <w:tcPr>
            <w:tcW w:w="1117" w:type="pct"/>
            <w:vAlign w:val="center"/>
          </w:tcPr>
          <w:p w14:paraId="523F5F8C" w14:textId="77777777" w:rsidR="00C676B6" w:rsidRPr="00C676B6" w:rsidRDefault="00C676B6" w:rsidP="00C676B6">
            <w:pPr>
              <w:jc w:val="both"/>
              <w:rPr>
                <w:rFonts w:eastAsia="Calibri"/>
                <w:b/>
                <w:bCs/>
              </w:rPr>
            </w:pPr>
            <w:r w:rsidRPr="00C676B6">
              <w:rPr>
                <w:rFonts w:eastAsia="Calibri"/>
                <w:b/>
                <w:bCs/>
              </w:rPr>
              <w:lastRenderedPageBreak/>
              <w:t>- Nơi tiếp nhận và trả kết quả:</w:t>
            </w:r>
          </w:p>
          <w:p w14:paraId="6441573F" w14:textId="77777777" w:rsidR="00C676B6" w:rsidRPr="00C676B6" w:rsidRDefault="00C676B6" w:rsidP="00C676B6">
            <w:pPr>
              <w:jc w:val="both"/>
              <w:rPr>
                <w:rFonts w:eastAsia="Calibri"/>
              </w:rPr>
            </w:pPr>
            <w:r w:rsidRPr="00C676B6">
              <w:rPr>
                <w:rFonts w:eastAsia="Calibri"/>
              </w:rPr>
              <w:t>+ Trung tâm Phục vụ hành chính công tỉnh; địa chỉ: Tầng 1 và tầng 2 (giữa 2 toà nhà A, B) Khu liên cơ quan, Quảng trường 3/2, phường Bắc Giang, tỉnh Bắc Ninh;</w:t>
            </w:r>
          </w:p>
          <w:p w14:paraId="39BD007A" w14:textId="77777777" w:rsidR="00C676B6" w:rsidRPr="00C676B6" w:rsidRDefault="00C676B6" w:rsidP="00C676B6">
            <w:pPr>
              <w:jc w:val="both"/>
              <w:rPr>
                <w:rFonts w:eastAsia="Calibri"/>
              </w:rPr>
            </w:pPr>
            <w:r w:rsidRPr="00C676B6">
              <w:rPr>
                <w:rFonts w:eastAsia="Calibri"/>
              </w:rPr>
              <w:t>+ Điểm tiếp nhận và trả kết quả TTHC phường Kinh Bắc; địa chỉ: Số 31, đường Kinh Dương Vương, phường Kinh Bắc, tỉnh Bắc Ninh;</w:t>
            </w:r>
          </w:p>
          <w:p w14:paraId="22C81413" w14:textId="77777777" w:rsidR="00C676B6" w:rsidRPr="00C676B6" w:rsidRDefault="00C676B6" w:rsidP="00C676B6">
            <w:pPr>
              <w:jc w:val="both"/>
              <w:rPr>
                <w:rFonts w:eastAsia="Calibri"/>
              </w:rPr>
            </w:pPr>
            <w:r w:rsidRPr="00C676B6">
              <w:rPr>
                <w:rFonts w:eastAsia="Calibri"/>
              </w:rPr>
              <w:t xml:space="preserve">+ Hoặc Trung tâm Phục vụ hành chính công cấp xã </w:t>
            </w:r>
            <w:r w:rsidRPr="00C676B6">
              <w:rPr>
                <w:rFonts w:eastAsia="Calibri"/>
                <w:i/>
                <w:iCs/>
              </w:rPr>
              <w:t>(trong trường hợp thực hiện nộp hồ sơ không phụ thuộc vào địa giới hành chính)</w:t>
            </w:r>
            <w:r w:rsidRPr="00C676B6">
              <w:rPr>
                <w:rFonts w:eastAsia="Calibri"/>
              </w:rPr>
              <w:t>.</w:t>
            </w:r>
          </w:p>
          <w:p w14:paraId="70B6E8E1" w14:textId="77777777" w:rsidR="00C676B6" w:rsidRPr="00C676B6" w:rsidRDefault="00C676B6" w:rsidP="00C676B6">
            <w:pPr>
              <w:widowControl w:val="0"/>
              <w:jc w:val="both"/>
              <w:rPr>
                <w:rFonts w:eastAsia="Calibri"/>
              </w:rPr>
            </w:pPr>
            <w:r w:rsidRPr="00C676B6">
              <w:rPr>
                <w:rFonts w:eastAsia="Calibri"/>
                <w:b/>
                <w:bCs/>
              </w:rPr>
              <w:t>- Cơ quan thực hiện:</w:t>
            </w:r>
            <w:r w:rsidRPr="00C676B6">
              <w:rPr>
                <w:rFonts w:eastAsia="Calibri"/>
              </w:rPr>
              <w:t xml:space="preserve"> Sở Khoa học và Công nghệ.</w:t>
            </w:r>
          </w:p>
          <w:p w14:paraId="3410E09F" w14:textId="77777777" w:rsidR="00C676B6" w:rsidRPr="00C676B6" w:rsidRDefault="00C676B6" w:rsidP="00C676B6">
            <w:pPr>
              <w:widowControl w:val="0"/>
              <w:jc w:val="both"/>
              <w:rPr>
                <w:rFonts w:eastAsia="Calibri"/>
              </w:rPr>
            </w:pPr>
            <w:r w:rsidRPr="00C676B6">
              <w:rPr>
                <w:rFonts w:eastAsia="Calibri"/>
                <w:b/>
                <w:bCs/>
              </w:rPr>
              <w:t xml:space="preserve">- Cơ quan có thẩm quyền quyết </w:t>
            </w:r>
            <w:r w:rsidRPr="00C676B6">
              <w:rPr>
                <w:rFonts w:eastAsia="Calibri"/>
                <w:b/>
                <w:bCs/>
              </w:rPr>
              <w:lastRenderedPageBreak/>
              <w:t>định:</w:t>
            </w:r>
            <w:r w:rsidRPr="00C676B6">
              <w:rPr>
                <w:rFonts w:eastAsia="Calibri"/>
              </w:rPr>
              <w:t xml:space="preserve"> Sở Khoa học và Công nghệ.</w:t>
            </w:r>
            <w:r w:rsidRPr="00C676B6">
              <w:t>.</w:t>
            </w:r>
          </w:p>
        </w:tc>
        <w:tc>
          <w:tcPr>
            <w:tcW w:w="872" w:type="pct"/>
            <w:vAlign w:val="center"/>
          </w:tcPr>
          <w:p w14:paraId="55F58092" w14:textId="77777777" w:rsidR="00C676B6" w:rsidRPr="00C676B6" w:rsidRDefault="00C676B6" w:rsidP="00C676B6">
            <w:pPr>
              <w:jc w:val="both"/>
            </w:pPr>
            <w:r w:rsidRPr="00C676B6">
              <w:lastRenderedPageBreak/>
              <w:t xml:space="preserve">- 10 ngày để ra thông báo thụ lý hoặc không thụ lý hồ sơ kể từ ngày tiếp nhận hồ sơ; </w:t>
            </w:r>
          </w:p>
          <w:p w14:paraId="5BE318D2" w14:textId="77777777" w:rsidR="00C676B6" w:rsidRPr="00C676B6" w:rsidRDefault="00C676B6" w:rsidP="00C676B6">
            <w:pPr>
              <w:jc w:val="both"/>
            </w:pPr>
            <w:r w:rsidRPr="00C676B6">
              <w:t xml:space="preserve">- 01 tháng kể từ ngày ra thông báo để người có quyền, lợi ích liên quan trực tiếp có ý kiến; </w:t>
            </w:r>
          </w:p>
          <w:p w14:paraId="49316E0D" w14:textId="77777777" w:rsidR="00C676B6" w:rsidRPr="00C676B6" w:rsidRDefault="00C676B6" w:rsidP="00C676B6">
            <w:pPr>
              <w:jc w:val="both"/>
            </w:pPr>
            <w:r w:rsidRPr="00C676B6">
              <w:t xml:space="preserve">- 30 ngày kể từ ngày thụ lý; đối với vụ việc phức tạp thì thời hạn này là 45 ngày (đối với khiếu nại lần thứ nhất); </w:t>
            </w:r>
          </w:p>
          <w:p w14:paraId="05A13640" w14:textId="323C2A59" w:rsidR="00C676B6" w:rsidRPr="00C676B6" w:rsidRDefault="00C676B6" w:rsidP="00C676B6">
            <w:pPr>
              <w:jc w:val="both"/>
            </w:pPr>
            <w:r w:rsidRPr="00C676B6">
              <w:t xml:space="preserve">- 45 ngày kể từ ngày thụ lý; đối với vụ việc phức tạp thì thời hạn này là 60 ngày (đối với khiếu nại lần thứ hai). Thời gian để người khiếu nại, người bị khiếu nại, cơ quan, tổ </w:t>
            </w:r>
            <w:r w:rsidRPr="00C676B6">
              <w:lastRenderedPageBreak/>
              <w:t>chức, cá nhân có liên quan cung cấp ý kiến, thông tin, tài liệu và chứng cứ về nội dung khiếu nại, thời gian thực hiện trưng cầu giám định (nếu có), thời gian người khiếu nại sửa đổi, bổ sung hồ sơ khiếu nại không tính vào thời hạn giải quyết khiếu nại.</w:t>
            </w:r>
          </w:p>
        </w:tc>
        <w:tc>
          <w:tcPr>
            <w:tcW w:w="332" w:type="pct"/>
            <w:vAlign w:val="center"/>
          </w:tcPr>
          <w:p w14:paraId="14AAE6EE" w14:textId="77777777" w:rsidR="00C676B6" w:rsidRPr="00C676B6" w:rsidRDefault="00C676B6" w:rsidP="00C676B6">
            <w:pPr>
              <w:widowControl w:val="0"/>
              <w:shd w:val="clear" w:color="auto" w:fill="FFFFFF"/>
              <w:jc w:val="both"/>
            </w:pPr>
            <w:r w:rsidRPr="00C676B6">
              <w:lastRenderedPageBreak/>
              <w:t>Không</w:t>
            </w:r>
          </w:p>
        </w:tc>
        <w:tc>
          <w:tcPr>
            <w:tcW w:w="1211" w:type="pct"/>
            <w:vAlign w:val="center"/>
          </w:tcPr>
          <w:p w14:paraId="2D43B772" w14:textId="77777777" w:rsidR="00C676B6" w:rsidRDefault="00C676B6" w:rsidP="00C676B6">
            <w:pPr>
              <w:widowControl w:val="0"/>
              <w:shd w:val="clear" w:color="auto" w:fill="FFFFFF"/>
              <w:jc w:val="both"/>
              <w:rPr>
                <w:bCs/>
                <w:spacing w:val="-4"/>
              </w:rPr>
            </w:pPr>
            <w:r w:rsidRPr="00C676B6">
              <w:rPr>
                <w:bCs/>
                <w:spacing w:val="-4"/>
              </w:rPr>
              <w:t xml:space="preserve">- Luật Sở hữu trí tuệ số 50/2005/QH11 ngày 29/11/2005, được sửa đổi, bổ sung theo Luật số 36/2009/QH12 ngày 19/6/2009, Luật số 42/2019/QH14 ngày 14/6/2019 và Luật số 07/2022/QH15 ngày 16/6/2022; Luật số 93/2025/QH15 ngày 27/6/2025; Luật số 131/2025/QH15 10/12/2025; </w:t>
            </w:r>
          </w:p>
          <w:p w14:paraId="77ECAED3" w14:textId="77777777" w:rsidR="00C676B6" w:rsidRDefault="00C676B6" w:rsidP="00C676B6">
            <w:pPr>
              <w:widowControl w:val="0"/>
              <w:shd w:val="clear" w:color="auto" w:fill="FFFFFF"/>
              <w:jc w:val="both"/>
              <w:rPr>
                <w:bCs/>
                <w:spacing w:val="-4"/>
              </w:rPr>
            </w:pPr>
            <w:r w:rsidRPr="00C676B6">
              <w:rPr>
                <w:bCs/>
                <w:spacing w:val="-4"/>
              </w:rPr>
              <w:t xml:space="preserve">- Luật Khiếu nại số 02/2011/QH13 ngày 11/11/2011; - Nghị định số 124/2020/NĐ-CP ngày 19/10/2020 quy định chi tiết một số điều và biện pháp thi hành Luật Khiếu nại; </w:t>
            </w:r>
          </w:p>
          <w:p w14:paraId="2C02AB8A" w14:textId="19E16BAE" w:rsidR="00C676B6" w:rsidRPr="00C676B6" w:rsidRDefault="00C676B6" w:rsidP="00C676B6">
            <w:pPr>
              <w:widowControl w:val="0"/>
              <w:shd w:val="clear" w:color="auto" w:fill="FFFFFF"/>
              <w:jc w:val="both"/>
              <w:rPr>
                <w:bCs/>
                <w:spacing w:val="-4"/>
              </w:rPr>
            </w:pPr>
            <w:r w:rsidRPr="00C676B6">
              <w:rPr>
                <w:bCs/>
                <w:spacing w:val="-4"/>
              </w:rPr>
              <w:t xml:space="preserve">- Nghị định số 100/2026/NĐ-CP ngày 31/3/2026 của Chính phủ quy định chi tiết một số điều và biện pháp thi hành Luật Sở hữu trí tuệ về sở hữu công nghiệp, bảo vệ quyền sở hữu công nghiệp, quyền đối với giống cây trồng </w:t>
            </w:r>
            <w:r w:rsidRPr="00C676B6">
              <w:rPr>
                <w:bCs/>
                <w:spacing w:val="-4"/>
              </w:rPr>
              <w:lastRenderedPageBreak/>
              <w:t>và quản lý nhà nước về sở hữu trí tuệ; - Thông tư số 10/2026/TT-BKHCN ngày 31/3/2026 Quy định chi tiết một số điều và biện pháp thi hành Luật Sở hữu trí tuệ,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tc>
      </w:tr>
    </w:tbl>
    <w:p w14:paraId="3F0FF1FF" w14:textId="30E6B8D2" w:rsidR="00DE06D5" w:rsidRDefault="00C676B6" w:rsidP="00FD231C">
      <w:pPr>
        <w:widowControl w:val="0"/>
        <w:spacing w:before="240" w:after="240"/>
        <w:jc w:val="both"/>
        <w:rPr>
          <w:b/>
        </w:rPr>
      </w:pPr>
      <w:r>
        <w:rPr>
          <w:b/>
        </w:rPr>
        <w:lastRenderedPageBreak/>
        <w:t>II. Quy trình nội bộ</w:t>
      </w:r>
    </w:p>
    <w:p w14:paraId="7F60E624" w14:textId="1EDFD6A7" w:rsidR="00AA4018" w:rsidRPr="00386D79" w:rsidRDefault="00AA4018" w:rsidP="00FD231C">
      <w:pPr>
        <w:spacing w:before="240" w:after="240"/>
        <w:rPr>
          <w:b/>
          <w:bCs/>
        </w:rPr>
      </w:pPr>
      <w:r w:rsidRPr="00B32062">
        <w:rPr>
          <w:b/>
          <w:bCs/>
        </w:rPr>
        <w:t>Thủ tục giải quyết khiếu nại liên quan đến sở hữu công nghiệp</w:t>
      </w:r>
      <w:r w:rsidRPr="00386D79">
        <w:rPr>
          <w:b/>
          <w:bCs/>
          <w:lang w:val="pt-BR"/>
        </w:rPr>
        <w:t>.</w:t>
      </w:r>
      <w:r w:rsidR="00DB7C85" w:rsidRPr="00386D79">
        <w:rPr>
          <w:b/>
          <w:bCs/>
        </w:rPr>
        <w:t xml:space="preserve"> </w:t>
      </w:r>
    </w:p>
    <w:tbl>
      <w:tblPr>
        <w:tblW w:w="14464" w:type="dxa"/>
        <w:jc w:val="center"/>
        <w:tblLayout w:type="fixed"/>
        <w:tblCellMar>
          <w:left w:w="0" w:type="dxa"/>
          <w:right w:w="0" w:type="dxa"/>
        </w:tblCellMar>
        <w:tblLook w:val="0000" w:firstRow="0" w:lastRow="0" w:firstColumn="0" w:lastColumn="0" w:noHBand="0" w:noVBand="0"/>
      </w:tblPr>
      <w:tblGrid>
        <w:gridCol w:w="993"/>
        <w:gridCol w:w="7779"/>
        <w:gridCol w:w="1843"/>
        <w:gridCol w:w="1522"/>
        <w:gridCol w:w="2327"/>
      </w:tblGrid>
      <w:tr w:rsidR="00AA4018" w:rsidRPr="00386D79" w14:paraId="0192E2F8" w14:textId="77777777" w:rsidTr="00FD231C">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4369E02D" w14:textId="77777777" w:rsidR="00AA4018" w:rsidRPr="00386D79" w:rsidRDefault="00AA4018" w:rsidP="00CD4ADE">
            <w:pPr>
              <w:jc w:val="center"/>
              <w:rPr>
                <w:lang w:val="en"/>
              </w:rPr>
            </w:pPr>
            <w:r w:rsidRPr="00386D79">
              <w:rPr>
                <w:b/>
                <w:bCs/>
                <w:lang w:val="it-IT"/>
              </w:rPr>
              <w:t xml:space="preserve">Thứ tự công </w:t>
            </w:r>
            <w:r w:rsidRPr="00386D79">
              <w:rPr>
                <w:b/>
                <w:bCs/>
                <w:lang w:val="en"/>
              </w:rPr>
              <w:t>việc</w:t>
            </w:r>
          </w:p>
        </w:tc>
        <w:tc>
          <w:tcPr>
            <w:tcW w:w="7779" w:type="dxa"/>
            <w:tcBorders>
              <w:top w:val="single" w:sz="3" w:space="0" w:color="000000"/>
              <w:left w:val="single" w:sz="3" w:space="0" w:color="000000"/>
              <w:bottom w:val="single" w:sz="3" w:space="0" w:color="000000"/>
              <w:right w:val="single" w:sz="3" w:space="0" w:color="000000"/>
            </w:tcBorders>
            <w:vAlign w:val="center"/>
          </w:tcPr>
          <w:p w14:paraId="4FC9E3CE" w14:textId="77777777" w:rsidR="00AA4018" w:rsidRPr="00386D79" w:rsidRDefault="00AA4018" w:rsidP="00CD4ADE">
            <w:pPr>
              <w:jc w:val="center"/>
              <w:rPr>
                <w:lang w:val="en"/>
              </w:rPr>
            </w:pPr>
            <w:r w:rsidRPr="00386D79">
              <w:rPr>
                <w:b/>
                <w:bCs/>
                <w:lang w:val="en"/>
              </w:rPr>
              <w:t>Nội dung công việc cụ thể</w:t>
            </w:r>
          </w:p>
        </w:tc>
        <w:tc>
          <w:tcPr>
            <w:tcW w:w="1843" w:type="dxa"/>
            <w:tcBorders>
              <w:top w:val="single" w:sz="3" w:space="0" w:color="000000"/>
              <w:left w:val="single" w:sz="3" w:space="0" w:color="000000"/>
              <w:bottom w:val="single" w:sz="3" w:space="0" w:color="000000"/>
              <w:right w:val="single" w:sz="3" w:space="0" w:color="000000"/>
            </w:tcBorders>
            <w:vAlign w:val="center"/>
          </w:tcPr>
          <w:p w14:paraId="0F353E4A" w14:textId="77777777" w:rsidR="00AA4018" w:rsidRPr="00386D79" w:rsidRDefault="00AA4018" w:rsidP="00CD4ADE">
            <w:pPr>
              <w:jc w:val="center"/>
              <w:rPr>
                <w:b/>
                <w:bCs/>
                <w:lang w:val="en"/>
              </w:rPr>
            </w:pPr>
            <w:r w:rsidRPr="00386D79">
              <w:rPr>
                <w:b/>
                <w:bCs/>
                <w:lang w:val="en"/>
              </w:rPr>
              <w:t>Đơn vị/</w:t>
            </w:r>
          </w:p>
          <w:p w14:paraId="08A3584E" w14:textId="77777777" w:rsidR="00AA4018" w:rsidRPr="00386D79" w:rsidRDefault="00AA4018" w:rsidP="00CD4ADE">
            <w:pPr>
              <w:jc w:val="center"/>
              <w:rPr>
                <w:lang w:val="en"/>
              </w:rPr>
            </w:pPr>
            <w:r w:rsidRPr="00386D79">
              <w:rPr>
                <w:b/>
                <w:bCs/>
                <w:lang w:val="en"/>
              </w:rPr>
              <w:t>ng</w:t>
            </w:r>
            <w:r w:rsidRPr="00386D79">
              <w:rPr>
                <w:b/>
                <w:bCs/>
                <w:lang w:val="vi-VN"/>
              </w:rPr>
              <w:t>ười thực hiện</w:t>
            </w:r>
          </w:p>
        </w:tc>
        <w:tc>
          <w:tcPr>
            <w:tcW w:w="1522" w:type="dxa"/>
            <w:tcBorders>
              <w:top w:val="single" w:sz="3" w:space="0" w:color="000000"/>
              <w:left w:val="single" w:sz="3" w:space="0" w:color="000000"/>
              <w:bottom w:val="single" w:sz="3" w:space="0" w:color="000000"/>
              <w:right w:val="single" w:sz="3" w:space="0" w:color="000000"/>
            </w:tcBorders>
            <w:vAlign w:val="center"/>
          </w:tcPr>
          <w:p w14:paraId="7D7F5D62" w14:textId="6E2E304A" w:rsidR="00AA4018" w:rsidRPr="00386D79" w:rsidRDefault="00AA4018" w:rsidP="00CD4ADE">
            <w:pPr>
              <w:jc w:val="center"/>
              <w:rPr>
                <w:lang w:val="en"/>
              </w:rPr>
            </w:pPr>
            <w:r w:rsidRPr="00386D79">
              <w:rPr>
                <w:b/>
                <w:bCs/>
                <w:lang w:val="en"/>
              </w:rPr>
              <w:t xml:space="preserve">Thời gian thực hiện </w:t>
            </w:r>
          </w:p>
        </w:tc>
        <w:tc>
          <w:tcPr>
            <w:tcW w:w="2327" w:type="dxa"/>
            <w:tcBorders>
              <w:top w:val="single" w:sz="3" w:space="0" w:color="000000"/>
              <w:left w:val="single" w:sz="3" w:space="0" w:color="000000"/>
              <w:bottom w:val="single" w:sz="3" w:space="0" w:color="000000"/>
              <w:right w:val="single" w:sz="3" w:space="0" w:color="000000"/>
            </w:tcBorders>
            <w:vAlign w:val="center"/>
          </w:tcPr>
          <w:p w14:paraId="1A2E6985" w14:textId="77777777" w:rsidR="00AA4018" w:rsidRPr="00386D79" w:rsidRDefault="00AA4018" w:rsidP="00CD4ADE">
            <w:pPr>
              <w:jc w:val="center"/>
              <w:rPr>
                <w:b/>
                <w:bCs/>
                <w:lang w:val="en"/>
              </w:rPr>
            </w:pPr>
            <w:r w:rsidRPr="00386D79">
              <w:rPr>
                <w:b/>
                <w:bCs/>
                <w:lang w:val="en"/>
              </w:rPr>
              <w:t>Sản phẩm</w:t>
            </w:r>
          </w:p>
        </w:tc>
      </w:tr>
      <w:tr w:rsidR="00FD231C" w:rsidRPr="00386D79" w14:paraId="698539F1" w14:textId="77777777" w:rsidTr="00FD231C">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7B19FACA" w14:textId="77777777" w:rsidR="00FD231C" w:rsidRPr="00386D79" w:rsidRDefault="00FD231C" w:rsidP="00FD231C">
            <w:pPr>
              <w:jc w:val="center"/>
              <w:rPr>
                <w:lang w:val="en"/>
              </w:rPr>
            </w:pPr>
            <w:r w:rsidRPr="00386D79">
              <w:rPr>
                <w:lang w:val="en"/>
              </w:rPr>
              <w:t>B</w:t>
            </w:r>
            <w:r w:rsidRPr="00386D79">
              <w:rPr>
                <w:lang w:val="vi-VN"/>
              </w:rPr>
              <w:t>ước 1</w:t>
            </w:r>
          </w:p>
        </w:tc>
        <w:tc>
          <w:tcPr>
            <w:tcW w:w="7779" w:type="dxa"/>
            <w:tcBorders>
              <w:top w:val="single" w:sz="3" w:space="0" w:color="000000"/>
              <w:left w:val="single" w:sz="3" w:space="0" w:color="000000"/>
              <w:bottom w:val="single" w:sz="3" w:space="0" w:color="000000"/>
              <w:right w:val="single" w:sz="3" w:space="0" w:color="000000"/>
            </w:tcBorders>
            <w:vAlign w:val="center"/>
          </w:tcPr>
          <w:p w14:paraId="79A1346E" w14:textId="77777777" w:rsidR="00FD231C" w:rsidRPr="00790C1C" w:rsidRDefault="00FD231C" w:rsidP="00FD231C">
            <w:pPr>
              <w:jc w:val="both"/>
              <w:rPr>
                <w:b/>
                <w:lang w:val="nl-NL"/>
              </w:rPr>
            </w:pPr>
            <w:r w:rsidRPr="00790C1C">
              <w:rPr>
                <w:b/>
                <w:lang w:val="nl-NL"/>
              </w:rPr>
              <w:t>1. Nộp hồ sơ:</w:t>
            </w:r>
          </w:p>
          <w:p w14:paraId="386547AA" w14:textId="77777777" w:rsidR="00FD231C" w:rsidRPr="00790C1C" w:rsidRDefault="00FD231C" w:rsidP="00FD231C">
            <w:pPr>
              <w:spacing w:before="40" w:after="40"/>
              <w:ind w:right="99"/>
              <w:jc w:val="both"/>
              <w:rPr>
                <w:lang w:val="nl-NL"/>
              </w:rPr>
            </w:pPr>
            <w:r w:rsidRPr="00790C1C">
              <w:rPr>
                <w:lang w:val="nl-NL"/>
              </w:rPr>
              <w:t>+Trực tuyến: Cổng dịch vụ công quốc gia (https://dichvucong.gov.vn)</w:t>
            </w:r>
          </w:p>
          <w:p w14:paraId="207B0739" w14:textId="77777777" w:rsidR="00FD231C" w:rsidRPr="00790C1C" w:rsidRDefault="00FD231C" w:rsidP="00FD231C">
            <w:pPr>
              <w:spacing w:before="40" w:after="40"/>
              <w:ind w:right="99"/>
              <w:jc w:val="both"/>
              <w:rPr>
                <w:lang w:val="nl-NL"/>
              </w:rPr>
            </w:pPr>
            <w:r w:rsidRPr="00790C1C">
              <w:rPr>
                <w:lang w:val="nl-NL"/>
              </w:rPr>
              <w:t>+ Trực tiếp hoặc qua dịch vụ bưu chính công ích đến:</w:t>
            </w:r>
          </w:p>
          <w:p w14:paraId="2AD0CD9B" w14:textId="77777777" w:rsidR="00FD231C" w:rsidRPr="00790C1C" w:rsidRDefault="00FD231C" w:rsidP="00FD231C">
            <w:pPr>
              <w:ind w:right="99"/>
              <w:jc w:val="both"/>
              <w:rPr>
                <w:lang w:val="nl-NL"/>
              </w:rPr>
            </w:pPr>
            <w:r w:rsidRPr="00790C1C">
              <w:rPr>
                <w:lang w:val="nl-NL"/>
              </w:rPr>
              <w:t>- T</w:t>
            </w:r>
            <w:r w:rsidRPr="00790C1C">
              <w:rPr>
                <w:lang w:val="vi-VN"/>
              </w:rPr>
              <w:t>rung tâm Phục vụ hành chính công tỉnh Bắc Ninh; địa chỉ Tầng 1 và tầng 2 (giữa 2 toà nhà A, B) Khu liên cơ quan, Quảng trường 3/2, phường Bắc Giang, tỉnh Bắc Ninh h</w:t>
            </w:r>
            <w:r w:rsidRPr="00790C1C">
              <w:rPr>
                <w:lang w:val="nl-NL"/>
              </w:rPr>
              <w:t>oặc Điểm tiếp nhận và Trả kết quả phường Kinh Bắc, địa chỉ: Số 31, đường Kinh Dương Vương, phường Kinh Bắc, tỉnh Bắc Ninh</w:t>
            </w:r>
          </w:p>
          <w:p w14:paraId="276C7A1E" w14:textId="77777777" w:rsidR="00FD231C" w:rsidRPr="00790C1C" w:rsidRDefault="00FD231C" w:rsidP="00FD231C">
            <w:pPr>
              <w:ind w:right="99"/>
              <w:jc w:val="both"/>
              <w:rPr>
                <w:lang w:val="nl-NL"/>
              </w:rPr>
            </w:pPr>
            <w:r w:rsidRPr="00790C1C">
              <w:rPr>
                <w:lang w:val="nl-NL"/>
              </w:rPr>
              <w:t>- Hoặc Trung tâm Phục vụ hành chính công cấp xã (trường hợp nộp hồ sơ không phụ thuộc vào địa giới hành chính).</w:t>
            </w:r>
          </w:p>
          <w:p w14:paraId="07959D54" w14:textId="77777777" w:rsidR="00FD231C" w:rsidRPr="00790C1C" w:rsidRDefault="00FD231C" w:rsidP="00FD231C">
            <w:pPr>
              <w:spacing w:before="40" w:after="40"/>
              <w:ind w:right="99"/>
              <w:jc w:val="both"/>
              <w:rPr>
                <w:b/>
                <w:lang w:val="nl-NL"/>
              </w:rPr>
            </w:pPr>
            <w:r w:rsidRPr="00790C1C">
              <w:rPr>
                <w:b/>
                <w:lang w:val="nl-NL"/>
              </w:rPr>
              <w:t>2. Kiểm tra tính đầy đủ của hồ sơ theo quy định</w:t>
            </w:r>
          </w:p>
          <w:p w14:paraId="11C15D7C" w14:textId="77777777" w:rsidR="00FD231C" w:rsidRPr="00790C1C" w:rsidRDefault="00FD231C" w:rsidP="00FD231C">
            <w:pPr>
              <w:spacing w:before="40" w:after="40"/>
              <w:ind w:right="99"/>
              <w:jc w:val="both"/>
              <w:rPr>
                <w:shd w:val="clear" w:color="auto" w:fill="FFFFFF"/>
                <w:lang w:val="nl-NL"/>
              </w:rPr>
            </w:pPr>
            <w:r w:rsidRPr="00790C1C">
              <w:rPr>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422C19D7" w14:textId="77777777" w:rsidR="00FD231C" w:rsidRPr="00790C1C" w:rsidRDefault="00FD231C" w:rsidP="00FD231C">
            <w:pPr>
              <w:spacing w:before="40" w:after="40"/>
              <w:ind w:right="99"/>
              <w:jc w:val="both"/>
              <w:rPr>
                <w:lang w:val="nl-NL"/>
              </w:rPr>
            </w:pPr>
            <w:r w:rsidRPr="00790C1C">
              <w:rPr>
                <w:i/>
                <w:iCs/>
                <w:lang w:val="nl-NL"/>
              </w:rPr>
              <w:t>Trường hợp tiếp nhận không phụ thuộc vào địa giới hành chính</w:t>
            </w:r>
            <w:r w:rsidRPr="00790C1C">
              <w:rPr>
                <w:lang w:val="nl-NL"/>
              </w:rPr>
              <w:t xml:space="preserve">: đơn vị tiếp </w:t>
            </w:r>
            <w:r w:rsidRPr="00790C1C">
              <w:rPr>
                <w:lang w:val="nl-NL"/>
              </w:rPr>
              <w:lastRenderedPageBreak/>
              <w:t>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713E6235" w14:textId="30E824FF" w:rsidR="00FD231C" w:rsidRPr="00386D79" w:rsidRDefault="00FD231C" w:rsidP="00FD231C">
            <w:pPr>
              <w:ind w:left="57" w:right="57"/>
              <w:jc w:val="both"/>
            </w:pPr>
            <w:r w:rsidRPr="00790C1C">
              <w:rPr>
                <w:lang w:val="nl-NL"/>
              </w:rPr>
              <w:t>+ Hồ sơ không đầy đủ, hợp lệ thì trả hồ sơ và hướng dẫn cá nhân, tổ chức bổ sung hồ sơ.</w:t>
            </w:r>
          </w:p>
        </w:tc>
        <w:tc>
          <w:tcPr>
            <w:tcW w:w="1843" w:type="dxa"/>
            <w:tcBorders>
              <w:top w:val="single" w:sz="3" w:space="0" w:color="000000"/>
              <w:left w:val="single" w:sz="3" w:space="0" w:color="000000"/>
              <w:bottom w:val="single" w:sz="3" w:space="0" w:color="000000"/>
              <w:right w:val="single" w:sz="3" w:space="0" w:color="000000"/>
            </w:tcBorders>
            <w:vAlign w:val="center"/>
          </w:tcPr>
          <w:p w14:paraId="014A8278" w14:textId="3DF1E799" w:rsidR="00FD231C" w:rsidRPr="00386D79" w:rsidRDefault="00FD231C" w:rsidP="00FD231C">
            <w:pPr>
              <w:jc w:val="center"/>
              <w:rPr>
                <w:lang w:val="en"/>
              </w:rPr>
            </w:pPr>
            <w:r w:rsidRPr="00790C1C">
              <w:rPr>
                <w:lang w:val="nl-NL"/>
              </w:rPr>
              <w:lastRenderedPageBreak/>
              <w:t>Công chức tiếp nhận hồ sơ tại T</w:t>
            </w:r>
            <w:r w:rsidRPr="00790C1C">
              <w:rPr>
                <w:lang w:val="vi-VN"/>
              </w:rPr>
              <w:t xml:space="preserve">rung tâm Phục vụ hành chính công </w:t>
            </w:r>
          </w:p>
        </w:tc>
        <w:tc>
          <w:tcPr>
            <w:tcW w:w="1522" w:type="dxa"/>
            <w:tcBorders>
              <w:top w:val="single" w:sz="3" w:space="0" w:color="000000"/>
              <w:left w:val="single" w:sz="3" w:space="0" w:color="000000"/>
              <w:bottom w:val="single" w:sz="3" w:space="0" w:color="000000"/>
              <w:right w:val="single" w:sz="3" w:space="0" w:color="000000"/>
            </w:tcBorders>
            <w:vAlign w:val="center"/>
          </w:tcPr>
          <w:p w14:paraId="227BE8C6" w14:textId="0BA83A66" w:rsidR="00FD231C" w:rsidRPr="00386D79" w:rsidRDefault="00FD231C" w:rsidP="000723CF">
            <w:pPr>
              <w:jc w:val="center"/>
              <w:rPr>
                <w:lang w:val="en"/>
              </w:rPr>
            </w:pPr>
            <w:r w:rsidRPr="00790C1C">
              <w:rPr>
                <w:lang w:val="nl-NL"/>
              </w:rPr>
              <w:t xml:space="preserve">0,5 ngày </w:t>
            </w:r>
          </w:p>
        </w:tc>
        <w:tc>
          <w:tcPr>
            <w:tcW w:w="2327" w:type="dxa"/>
            <w:tcBorders>
              <w:top w:val="single" w:sz="3" w:space="0" w:color="000000"/>
              <w:left w:val="single" w:sz="3" w:space="0" w:color="000000"/>
              <w:bottom w:val="single" w:sz="3" w:space="0" w:color="000000"/>
              <w:right w:val="single" w:sz="3" w:space="0" w:color="000000"/>
            </w:tcBorders>
            <w:vAlign w:val="center"/>
          </w:tcPr>
          <w:p w14:paraId="069DA9BC" w14:textId="42BD2B2D" w:rsidR="00FD231C" w:rsidRPr="00386D79" w:rsidRDefault="00FD231C" w:rsidP="00FD231C">
            <w:pPr>
              <w:jc w:val="center"/>
              <w:rPr>
                <w:lang w:val="en"/>
              </w:rPr>
            </w:pPr>
            <w:r w:rsidRPr="00790C1C">
              <w:rPr>
                <w:lang w:val="nl-NL"/>
              </w:rPr>
              <w:t>Giấy tiếp nhận hồ sơ, hẹn trả kết quả hoặc Thông báo về tình trạng hồ sơ cần chỉnh sửa, bổ sung, các hướng dẫn (nếu có)</w:t>
            </w:r>
          </w:p>
        </w:tc>
      </w:tr>
      <w:tr w:rsidR="00FD231C" w:rsidRPr="00386D79" w14:paraId="4B8135E0" w14:textId="77777777" w:rsidTr="001E55F2">
        <w:trPr>
          <w:trHeight w:val="2484"/>
          <w:jc w:val="center"/>
        </w:trPr>
        <w:tc>
          <w:tcPr>
            <w:tcW w:w="993" w:type="dxa"/>
            <w:tcBorders>
              <w:top w:val="single" w:sz="3" w:space="0" w:color="000000"/>
              <w:left w:val="single" w:sz="3" w:space="0" w:color="000000"/>
              <w:right w:val="single" w:sz="3" w:space="0" w:color="000000"/>
            </w:tcBorders>
            <w:vAlign w:val="center"/>
          </w:tcPr>
          <w:p w14:paraId="4CC44C24" w14:textId="77777777" w:rsidR="00FD231C" w:rsidRPr="00386D79" w:rsidRDefault="00FD231C" w:rsidP="00CD4ADE">
            <w:pPr>
              <w:jc w:val="center"/>
              <w:rPr>
                <w:lang w:val="en"/>
              </w:rPr>
            </w:pPr>
            <w:r w:rsidRPr="00386D79">
              <w:rPr>
                <w:lang w:val="en"/>
              </w:rPr>
              <w:t>B</w:t>
            </w:r>
            <w:r w:rsidRPr="00386D79">
              <w:rPr>
                <w:lang w:val="vi-VN"/>
              </w:rPr>
              <w:t>ước 2</w:t>
            </w:r>
          </w:p>
          <w:p w14:paraId="370CD44A" w14:textId="53B006C1" w:rsidR="00FD231C" w:rsidRPr="00386D79" w:rsidRDefault="00FD231C" w:rsidP="00CD4ADE">
            <w:pPr>
              <w:jc w:val="center"/>
              <w:rPr>
                <w:lang w:val="en"/>
              </w:rPr>
            </w:pPr>
          </w:p>
        </w:tc>
        <w:tc>
          <w:tcPr>
            <w:tcW w:w="7779" w:type="dxa"/>
            <w:tcBorders>
              <w:top w:val="single" w:sz="3" w:space="0" w:color="000000"/>
              <w:left w:val="single" w:sz="3" w:space="0" w:color="000000"/>
              <w:right w:val="single" w:sz="3" w:space="0" w:color="000000"/>
            </w:tcBorders>
            <w:vAlign w:val="center"/>
          </w:tcPr>
          <w:p w14:paraId="229F7CA2" w14:textId="77777777" w:rsidR="00FD231C" w:rsidRDefault="00FD231C" w:rsidP="00CD4ADE">
            <w:r w:rsidRPr="00386D79">
              <w:t xml:space="preserve">Xử lý hồ sơ: </w:t>
            </w:r>
            <w:r w:rsidRPr="00386D79">
              <w:br/>
              <w:t xml:space="preserve">- </w:t>
            </w:r>
            <w:r>
              <w:t>T</w:t>
            </w:r>
            <w:r w:rsidRPr="00CB2DC9">
              <w:t xml:space="preserve">rong thời hạn 10 ngày kể từ ngày nhận đơn khiếu nại, </w:t>
            </w:r>
            <w:r>
              <w:t>cán bộ được phân công xử lý hồ sơ thực hiện:</w:t>
            </w:r>
            <w:r w:rsidRPr="00CB2DC9">
              <w:t xml:space="preserve"> </w:t>
            </w:r>
          </w:p>
          <w:p w14:paraId="5B7D073A" w14:textId="77777777" w:rsidR="00FD231C" w:rsidRDefault="00FD231C" w:rsidP="00CD4ADE">
            <w:r>
              <w:t>+ Nếu đơn khiếu nại thuộc một trong các trường hợp không được thụ lý giải quyết khiếu nại theo quy định, dự thảo thông báo không thụ lý giải quyết khiếu nại, trong đó nêu rõ lý do từ chối giải quyết;</w:t>
            </w:r>
          </w:p>
          <w:p w14:paraId="668B14A2" w14:textId="77777777" w:rsidR="00FD231C" w:rsidRDefault="00FD231C" w:rsidP="00CD4ADE">
            <w:r>
              <w:t>+ Nếu đơn khiếu nại không thuộc các trường hợp không được thụ lý giải quyết khiếu nại theo quy định, dự thảo thông báo thụ lý giải quyết khiếu nại.</w:t>
            </w:r>
          </w:p>
          <w:p w14:paraId="0238F51A" w14:textId="4510AF39" w:rsidR="00FD231C" w:rsidRPr="00386D79" w:rsidRDefault="00FD231C" w:rsidP="00CD4ADE">
            <w:pPr>
              <w:rPr>
                <w:lang w:val="en"/>
              </w:rPr>
            </w:pPr>
          </w:p>
        </w:tc>
        <w:tc>
          <w:tcPr>
            <w:tcW w:w="1843" w:type="dxa"/>
            <w:tcBorders>
              <w:top w:val="single" w:sz="3" w:space="0" w:color="000000"/>
              <w:left w:val="single" w:sz="3" w:space="0" w:color="000000"/>
              <w:right w:val="single" w:sz="3" w:space="0" w:color="000000"/>
            </w:tcBorders>
            <w:vAlign w:val="center"/>
          </w:tcPr>
          <w:p w14:paraId="181D9BF7" w14:textId="1B5C93AA" w:rsidR="00FD231C" w:rsidRPr="00386D79" w:rsidRDefault="00FD231C" w:rsidP="00CD4ADE">
            <w:pPr>
              <w:jc w:val="center"/>
              <w:rPr>
                <w:lang w:val="en"/>
              </w:rPr>
            </w:pPr>
            <w:r w:rsidRPr="00386D79">
              <w:rPr>
                <w:lang w:val="en"/>
              </w:rPr>
              <w:t>Lãnh đạo</w:t>
            </w:r>
            <w:r w:rsidR="000723CF">
              <w:rPr>
                <w:lang w:val="en"/>
              </w:rPr>
              <w:t xml:space="preserve"> Sở, Lãnh đạo</w:t>
            </w:r>
            <w:r w:rsidRPr="00386D79">
              <w:rPr>
                <w:lang w:val="en"/>
              </w:rPr>
              <w:t xml:space="preserve"> </w:t>
            </w:r>
            <w:r w:rsidRPr="00386D79">
              <w:t xml:space="preserve">Phòng </w:t>
            </w:r>
            <w:r>
              <w:t xml:space="preserve">chuyên môn, </w:t>
            </w:r>
          </w:p>
          <w:p w14:paraId="5E1F8E3B" w14:textId="42F50921" w:rsidR="00FD231C" w:rsidRPr="00386D79" w:rsidRDefault="00FD231C" w:rsidP="00CD4ADE">
            <w:pPr>
              <w:jc w:val="center"/>
              <w:rPr>
                <w:lang w:val="en"/>
              </w:rPr>
            </w:pPr>
            <w:r w:rsidRPr="00386D79">
              <w:rPr>
                <w:lang w:val="en"/>
              </w:rPr>
              <w:t>Chuyên viên được phân công</w:t>
            </w:r>
          </w:p>
        </w:tc>
        <w:tc>
          <w:tcPr>
            <w:tcW w:w="1522" w:type="dxa"/>
            <w:tcBorders>
              <w:top w:val="single" w:sz="3" w:space="0" w:color="000000"/>
              <w:left w:val="single" w:sz="3" w:space="0" w:color="000000"/>
              <w:right w:val="single" w:sz="3" w:space="0" w:color="000000"/>
            </w:tcBorders>
            <w:vAlign w:val="center"/>
          </w:tcPr>
          <w:p w14:paraId="7BA05894" w14:textId="5710367C" w:rsidR="00FD231C" w:rsidRPr="00386D79" w:rsidRDefault="000723CF" w:rsidP="00CD4ADE">
            <w:pPr>
              <w:jc w:val="center"/>
              <w:rPr>
                <w:lang w:val="en"/>
              </w:rPr>
            </w:pPr>
            <w:r>
              <w:t>9,5</w:t>
            </w:r>
            <w:r w:rsidR="00FD231C" w:rsidRPr="00386D79">
              <w:t xml:space="preserve"> ngày </w:t>
            </w:r>
          </w:p>
        </w:tc>
        <w:tc>
          <w:tcPr>
            <w:tcW w:w="2327" w:type="dxa"/>
            <w:tcBorders>
              <w:top w:val="single" w:sz="3" w:space="0" w:color="000000"/>
              <w:left w:val="single" w:sz="3" w:space="0" w:color="000000"/>
              <w:right w:val="single" w:sz="3" w:space="0" w:color="000000"/>
            </w:tcBorders>
            <w:vAlign w:val="center"/>
          </w:tcPr>
          <w:p w14:paraId="5173333B" w14:textId="5DFD5C30" w:rsidR="00FD231C" w:rsidRPr="00386D79" w:rsidRDefault="008667FD" w:rsidP="00CD4ADE">
            <w:pPr>
              <w:jc w:val="both"/>
              <w:rPr>
                <w:lang w:val="en"/>
              </w:rPr>
            </w:pPr>
            <w:r>
              <w:t xml:space="preserve">Văn bản </w:t>
            </w:r>
            <w:r w:rsidR="00FD231C">
              <w:t xml:space="preserve">Thông báo thụ lý/ </w:t>
            </w:r>
            <w:r w:rsidR="000723CF">
              <w:t xml:space="preserve">hoặc </w:t>
            </w:r>
            <w:r>
              <w:t xml:space="preserve">Văn bản </w:t>
            </w:r>
            <w:r w:rsidR="00FD231C">
              <w:t>Từ chối giải quyết khiếu nại</w:t>
            </w:r>
          </w:p>
        </w:tc>
      </w:tr>
      <w:tr w:rsidR="004F1495" w:rsidRPr="00386D79" w14:paraId="31746316" w14:textId="77777777" w:rsidTr="003A35E7">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0A32B181" w14:textId="68135A87" w:rsidR="004F1495" w:rsidRPr="00386D79" w:rsidRDefault="004F1495" w:rsidP="00CD4ADE">
            <w:pPr>
              <w:jc w:val="center"/>
              <w:rPr>
                <w:lang w:val="en"/>
              </w:rPr>
            </w:pPr>
            <w:r>
              <w:rPr>
                <w:lang w:val="en"/>
              </w:rPr>
              <w:t>Bước 3</w:t>
            </w:r>
          </w:p>
        </w:tc>
        <w:tc>
          <w:tcPr>
            <w:tcW w:w="7779" w:type="dxa"/>
            <w:tcBorders>
              <w:top w:val="single" w:sz="3" w:space="0" w:color="000000"/>
              <w:left w:val="single" w:sz="3" w:space="0" w:color="000000"/>
              <w:bottom w:val="single" w:sz="3" w:space="0" w:color="000000"/>
              <w:right w:val="single" w:sz="3" w:space="0" w:color="000000"/>
            </w:tcBorders>
            <w:vAlign w:val="center"/>
          </w:tcPr>
          <w:p w14:paraId="55D05D21" w14:textId="77777777" w:rsidR="004F1495" w:rsidRDefault="004F1495" w:rsidP="00CD4ADE">
            <w:r>
              <w:t>Cán bộ được phân công</w:t>
            </w:r>
            <w:r w:rsidRPr="00106E9A">
              <w:t xml:space="preserve"> giải quyết khiếu nại thông báo bằng văn bản về nội dung khiếu nại cho bên liên quan và ấn định thời hạn 01 tháng kể từ ngày ra thông báo để người đó có ý kiến (nếu có); </w:t>
            </w:r>
          </w:p>
          <w:p w14:paraId="7D231DCD" w14:textId="3A9D2B1C" w:rsidR="004F1495" w:rsidRPr="00386D79" w:rsidRDefault="004F1495" w:rsidP="00CD4ADE">
            <w:r w:rsidRPr="00106E9A">
              <w:t xml:space="preserve"> </w:t>
            </w:r>
          </w:p>
        </w:tc>
        <w:tc>
          <w:tcPr>
            <w:tcW w:w="1843" w:type="dxa"/>
            <w:vMerge w:val="restart"/>
            <w:tcBorders>
              <w:top w:val="single" w:sz="3" w:space="0" w:color="000000"/>
              <w:left w:val="single" w:sz="3" w:space="0" w:color="000000"/>
              <w:right w:val="single" w:sz="3" w:space="0" w:color="000000"/>
            </w:tcBorders>
            <w:vAlign w:val="center"/>
          </w:tcPr>
          <w:p w14:paraId="7DB948B0" w14:textId="77777777" w:rsidR="004F1495" w:rsidRPr="00386D79" w:rsidRDefault="004F1495" w:rsidP="004F1495">
            <w:pPr>
              <w:jc w:val="center"/>
              <w:rPr>
                <w:lang w:val="en"/>
              </w:rPr>
            </w:pPr>
            <w:r w:rsidRPr="00386D79">
              <w:rPr>
                <w:lang w:val="en"/>
              </w:rPr>
              <w:t>Lãnh đạo</w:t>
            </w:r>
            <w:r>
              <w:rPr>
                <w:lang w:val="en"/>
              </w:rPr>
              <w:t xml:space="preserve"> Sở, Lãnh đạo</w:t>
            </w:r>
            <w:r w:rsidRPr="00386D79">
              <w:rPr>
                <w:lang w:val="en"/>
              </w:rPr>
              <w:t xml:space="preserve"> </w:t>
            </w:r>
            <w:r w:rsidRPr="00386D79">
              <w:t xml:space="preserve">Phòng </w:t>
            </w:r>
            <w:r>
              <w:t xml:space="preserve">chuyên môn, </w:t>
            </w:r>
          </w:p>
          <w:p w14:paraId="473B468C" w14:textId="4826890A" w:rsidR="004F1495" w:rsidRPr="00386D79" w:rsidRDefault="004F1495" w:rsidP="004F1495">
            <w:pPr>
              <w:jc w:val="center"/>
              <w:rPr>
                <w:lang w:val="en"/>
              </w:rPr>
            </w:pPr>
            <w:r w:rsidRPr="00386D79">
              <w:rPr>
                <w:lang w:val="en"/>
              </w:rPr>
              <w:t>Chuyên viên được phân công</w:t>
            </w:r>
          </w:p>
        </w:tc>
        <w:tc>
          <w:tcPr>
            <w:tcW w:w="1522" w:type="dxa"/>
            <w:tcBorders>
              <w:top w:val="single" w:sz="3" w:space="0" w:color="000000"/>
              <w:left w:val="single" w:sz="3" w:space="0" w:color="000000"/>
              <w:bottom w:val="single" w:sz="3" w:space="0" w:color="000000"/>
              <w:right w:val="single" w:sz="3" w:space="0" w:color="000000"/>
            </w:tcBorders>
            <w:vAlign w:val="center"/>
          </w:tcPr>
          <w:p w14:paraId="121836ED" w14:textId="6F9656FD" w:rsidR="004F1495" w:rsidRDefault="004F1495" w:rsidP="00CD4ADE">
            <w:pPr>
              <w:jc w:val="center"/>
            </w:pPr>
            <w:r w:rsidRPr="004F1495">
              <w:t>01 tháng kể từ ngày ra thông báo để người có quyền, lợi ích liên quan trực tiếp có ý kiến</w:t>
            </w:r>
          </w:p>
        </w:tc>
        <w:tc>
          <w:tcPr>
            <w:tcW w:w="2327" w:type="dxa"/>
            <w:tcBorders>
              <w:top w:val="single" w:sz="3" w:space="0" w:color="000000"/>
              <w:left w:val="single" w:sz="3" w:space="0" w:color="000000"/>
              <w:bottom w:val="single" w:sz="3" w:space="0" w:color="000000"/>
              <w:right w:val="single" w:sz="3" w:space="0" w:color="000000"/>
            </w:tcBorders>
            <w:vAlign w:val="center"/>
          </w:tcPr>
          <w:p w14:paraId="45FFCB15" w14:textId="54D030A0" w:rsidR="004F1495" w:rsidRDefault="004F1495" w:rsidP="00CD4ADE">
            <w:pPr>
              <w:jc w:val="both"/>
            </w:pPr>
            <w:r>
              <w:t>Thông báo nội dung khiếu nại;</w:t>
            </w:r>
          </w:p>
          <w:p w14:paraId="158BDB9A" w14:textId="62392138" w:rsidR="004F1495" w:rsidRPr="00386D79" w:rsidRDefault="004F1495" w:rsidP="00CD4ADE">
            <w:pPr>
              <w:jc w:val="both"/>
            </w:pPr>
          </w:p>
        </w:tc>
      </w:tr>
      <w:tr w:rsidR="004F1495" w:rsidRPr="00386D79" w14:paraId="28005290" w14:textId="77777777" w:rsidTr="003A35E7">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42EE5EEE" w14:textId="4FC58348" w:rsidR="004F1495" w:rsidRDefault="00AD7435" w:rsidP="00CD4ADE">
            <w:pPr>
              <w:jc w:val="center"/>
              <w:rPr>
                <w:lang w:val="en"/>
              </w:rPr>
            </w:pPr>
            <w:r>
              <w:rPr>
                <w:lang w:val="en"/>
              </w:rPr>
              <w:t>Bước 4</w:t>
            </w:r>
          </w:p>
        </w:tc>
        <w:tc>
          <w:tcPr>
            <w:tcW w:w="7779" w:type="dxa"/>
            <w:tcBorders>
              <w:top w:val="single" w:sz="3" w:space="0" w:color="000000"/>
              <w:left w:val="single" w:sz="3" w:space="0" w:color="000000"/>
              <w:bottom w:val="single" w:sz="3" w:space="0" w:color="000000"/>
              <w:right w:val="single" w:sz="3" w:space="0" w:color="000000"/>
            </w:tcBorders>
            <w:vAlign w:val="center"/>
          </w:tcPr>
          <w:p w14:paraId="3A8BA3AB" w14:textId="77777777" w:rsidR="004F1495" w:rsidRDefault="004F1495" w:rsidP="004F1495">
            <w:r w:rsidRPr="00106E9A">
              <w:t xml:space="preserve">+ Bên liên quan có quyền cung cấp thông tin, chứng cứ chứng minh cho lý lẽ của mình trong thời hạn nêu trên, </w:t>
            </w:r>
            <w:r>
              <w:t>cán bộ được phân công</w:t>
            </w:r>
            <w:r w:rsidRPr="00106E9A">
              <w:t xml:space="preserve"> giải quyết khiếu nại có trách nhiệm xem xét các thông tin, chứng cứ đó khi giải quyết khiếu nại; </w:t>
            </w:r>
          </w:p>
          <w:p w14:paraId="1A12B070" w14:textId="77777777" w:rsidR="004F1495" w:rsidRDefault="004F1495" w:rsidP="004F1495">
            <w:r w:rsidRPr="00106E9A">
              <w:t xml:space="preserve">+ </w:t>
            </w:r>
            <w:r>
              <w:t>Cán bộ được phân công</w:t>
            </w:r>
            <w:r w:rsidRPr="00106E9A">
              <w:t xml:space="preserve"> giải quyết khiếu nại thông báo bằng văn bản về nội dung ý kiến của bên liên quan và ấn định thời hạn 02 tháng kể từ ngày ra thông báo để người khiếu nại có ý kiến phản hồi ý kiến của bên liên quan; </w:t>
            </w:r>
          </w:p>
          <w:p w14:paraId="5A077FF1" w14:textId="77777777" w:rsidR="004F1495" w:rsidRDefault="004F1495" w:rsidP="004F1495">
            <w:r w:rsidRPr="00106E9A">
              <w:t xml:space="preserve">+ Nếu kết thúc thời hạn ấn định mà một bên không có ý kiến thì đơn khiếu nại sẽ được giải quyết trên cơ sở các tài liệu có trong đơn, bao gồm cả tài liệu thể hiện ý kiến của bên kia. </w:t>
            </w:r>
          </w:p>
          <w:p w14:paraId="6CC436C9" w14:textId="77777777" w:rsidR="004F1495" w:rsidRDefault="004F1495" w:rsidP="004F1495">
            <w:r w:rsidRPr="00106E9A">
              <w:t xml:space="preserve">+ Căn cứ vào kết quả xem xét lại quyết định, thông báo bị khiếu nại, </w:t>
            </w:r>
            <w:r>
              <w:t xml:space="preserve">cán bộ được phân công </w:t>
            </w:r>
            <w:r w:rsidRPr="00106E9A">
              <w:t xml:space="preserve">giải quyết khiếu nại </w:t>
            </w:r>
            <w:r>
              <w:t>dự thảo</w:t>
            </w:r>
            <w:r w:rsidRPr="00106E9A">
              <w:t xml:space="preserve"> quyết định giải quyết khiếu nại, trong đó phải có các nội dung quy định tại khoản 2 Điều 31 của Luật Khiếu nại. </w:t>
            </w:r>
            <w:r w:rsidRPr="00106E9A">
              <w:lastRenderedPageBreak/>
              <w:t xml:space="preserve">Rút đơn khiếu nại và đình chỉ giải quyết khiếu nại </w:t>
            </w:r>
          </w:p>
          <w:p w14:paraId="3E76AEFC" w14:textId="77777777" w:rsidR="004F1495" w:rsidRDefault="004F1495" w:rsidP="004F1495">
            <w:r w:rsidRPr="00106E9A">
              <w:t xml:space="preserve">+ Rút đơn khiếu nại: Người khiếu nại có quyền rút đơn khiếu nại, đơn đã rút coi như chưa được nộp (trừ trường hợp rút trước khi thụ lý/không thụ lý) </w:t>
            </w:r>
          </w:p>
          <w:p w14:paraId="4DBCAA4D" w14:textId="6A23DE06" w:rsidR="004F1495" w:rsidRDefault="004F1495" w:rsidP="004F1495">
            <w:r w:rsidRPr="00106E9A">
              <w:t xml:space="preserve">+ Đình chỉ giải quyết khiếu nại: </w:t>
            </w:r>
            <w:r>
              <w:t>Cán bộ được phân công</w:t>
            </w:r>
            <w:r w:rsidRPr="00106E9A">
              <w:t xml:space="preserve"> giải quyết khiếu nại </w:t>
            </w:r>
            <w:r>
              <w:t>dự thảo</w:t>
            </w:r>
            <w:r w:rsidRPr="00106E9A">
              <w:t xml:space="preserve"> quyết định đình chỉ trong các trường hợp: Người khiếu nại rút đơn; Đối tượng khiếu nại đã bị hủy bỏ.</w:t>
            </w:r>
          </w:p>
        </w:tc>
        <w:tc>
          <w:tcPr>
            <w:tcW w:w="1843" w:type="dxa"/>
            <w:vMerge/>
            <w:tcBorders>
              <w:left w:val="single" w:sz="3" w:space="0" w:color="000000"/>
              <w:bottom w:val="single" w:sz="3" w:space="0" w:color="000000"/>
              <w:right w:val="single" w:sz="3" w:space="0" w:color="000000"/>
            </w:tcBorders>
            <w:vAlign w:val="center"/>
          </w:tcPr>
          <w:p w14:paraId="59DE1DA5" w14:textId="77777777" w:rsidR="004F1495" w:rsidRDefault="004F1495" w:rsidP="00CD4ADE">
            <w:pPr>
              <w:jc w:val="center"/>
              <w:rPr>
                <w:lang w:val="en"/>
              </w:rPr>
            </w:pPr>
          </w:p>
        </w:tc>
        <w:tc>
          <w:tcPr>
            <w:tcW w:w="1522" w:type="dxa"/>
            <w:tcBorders>
              <w:top w:val="single" w:sz="3" w:space="0" w:color="000000"/>
              <w:left w:val="single" w:sz="3" w:space="0" w:color="000000"/>
              <w:bottom w:val="single" w:sz="3" w:space="0" w:color="000000"/>
              <w:right w:val="single" w:sz="3" w:space="0" w:color="000000"/>
            </w:tcBorders>
            <w:vAlign w:val="center"/>
          </w:tcPr>
          <w:p w14:paraId="7301048D" w14:textId="77777777" w:rsidR="00AD7435" w:rsidRDefault="00AD7435" w:rsidP="00AD7435">
            <w:pPr>
              <w:jc w:val="center"/>
            </w:pPr>
            <w:r>
              <w:t>- 22 ngày kể từ ngày thụ lý; đối với vụ việc phức tạp thì thời hạn</w:t>
            </w:r>
          </w:p>
          <w:p w14:paraId="091885D8" w14:textId="77777777" w:rsidR="00AD7435" w:rsidRDefault="00AD7435" w:rsidP="00AD7435">
            <w:pPr>
              <w:jc w:val="center"/>
            </w:pPr>
            <w:r>
              <w:t>này là 37 ngày (đối với khiếu nại lần thứ nhất);</w:t>
            </w:r>
          </w:p>
          <w:p w14:paraId="0CD3633F" w14:textId="77777777" w:rsidR="00AD7435" w:rsidRDefault="00AD7435" w:rsidP="00AD7435">
            <w:pPr>
              <w:jc w:val="center"/>
            </w:pPr>
            <w:r>
              <w:t xml:space="preserve">- 37 ngày kể từ ngày thụ lý; đối với vụ việc </w:t>
            </w:r>
            <w:r>
              <w:lastRenderedPageBreak/>
              <w:t>phức tạp thì thời hạn</w:t>
            </w:r>
          </w:p>
          <w:p w14:paraId="39241C55" w14:textId="24932F12" w:rsidR="004F1495" w:rsidRDefault="00AD7435" w:rsidP="00AD7435">
            <w:pPr>
              <w:jc w:val="center"/>
            </w:pPr>
            <w:r>
              <w:t>này là 52 ngày (đối với khiếu nại lần thứ hai).</w:t>
            </w:r>
          </w:p>
        </w:tc>
        <w:tc>
          <w:tcPr>
            <w:tcW w:w="2327" w:type="dxa"/>
            <w:tcBorders>
              <w:top w:val="single" w:sz="3" w:space="0" w:color="000000"/>
              <w:left w:val="single" w:sz="3" w:space="0" w:color="000000"/>
              <w:bottom w:val="single" w:sz="3" w:space="0" w:color="000000"/>
              <w:right w:val="single" w:sz="3" w:space="0" w:color="000000"/>
            </w:tcBorders>
            <w:vAlign w:val="center"/>
          </w:tcPr>
          <w:p w14:paraId="306DFC2F" w14:textId="77777777" w:rsidR="00AD7435" w:rsidRPr="00B02E52" w:rsidRDefault="00AD7435" w:rsidP="00AD7435">
            <w:pPr>
              <w:jc w:val="both"/>
            </w:pPr>
            <w:r>
              <w:lastRenderedPageBreak/>
              <w:t xml:space="preserve">- </w:t>
            </w:r>
            <w:r w:rsidRPr="00B02E52">
              <w:t>Dự thảo thông báo nội dung khiếu nại</w:t>
            </w:r>
            <w:r>
              <w:t>;</w:t>
            </w:r>
          </w:p>
          <w:p w14:paraId="395FB71B" w14:textId="314AD757" w:rsidR="004F1495" w:rsidRDefault="00AD7435" w:rsidP="00AD7435">
            <w:pPr>
              <w:jc w:val="both"/>
            </w:pPr>
            <w:r>
              <w:t xml:space="preserve">- </w:t>
            </w:r>
            <w:r w:rsidR="00B4432E">
              <w:t xml:space="preserve">Tờ trình, </w:t>
            </w:r>
            <w:r w:rsidRPr="00B02E52">
              <w:t>Dự thảo Quyết định giải quyết khiếu nạ</w:t>
            </w:r>
            <w:r w:rsidR="00B4432E">
              <w:t>i hoặc Dự thảo</w:t>
            </w:r>
            <w:r w:rsidRPr="00B02E52">
              <w:t xml:space="preserve"> Quyết định đình chỉ giải quyết khiếu nại.</w:t>
            </w:r>
          </w:p>
        </w:tc>
      </w:tr>
      <w:tr w:rsidR="00AA4018" w:rsidRPr="00386D79" w14:paraId="05455029" w14:textId="77777777" w:rsidTr="00FD231C">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15F09376" w14:textId="0B7381D5" w:rsidR="00AA4018" w:rsidRPr="00386D79" w:rsidRDefault="00AA4018" w:rsidP="00CD4ADE">
            <w:pPr>
              <w:jc w:val="center"/>
              <w:rPr>
                <w:lang w:val="en"/>
              </w:rPr>
            </w:pPr>
            <w:r w:rsidRPr="00386D79">
              <w:rPr>
                <w:lang w:val="en"/>
              </w:rPr>
              <w:t xml:space="preserve">Bước </w:t>
            </w:r>
            <w:r w:rsidR="00084C57">
              <w:rPr>
                <w:lang w:val="en"/>
              </w:rPr>
              <w:t>5</w:t>
            </w:r>
          </w:p>
        </w:tc>
        <w:tc>
          <w:tcPr>
            <w:tcW w:w="7779" w:type="dxa"/>
            <w:tcBorders>
              <w:top w:val="single" w:sz="3" w:space="0" w:color="000000"/>
              <w:left w:val="single" w:sz="3" w:space="0" w:color="000000"/>
              <w:bottom w:val="single" w:sz="3" w:space="0" w:color="000000"/>
              <w:right w:val="single" w:sz="3" w:space="0" w:color="000000"/>
            </w:tcBorders>
            <w:vAlign w:val="center"/>
          </w:tcPr>
          <w:p w14:paraId="4955C7FE" w14:textId="77777777" w:rsidR="00AA4018" w:rsidRDefault="00AA4018" w:rsidP="00CD4ADE">
            <w:pPr>
              <w:jc w:val="both"/>
            </w:pPr>
            <w:r w:rsidRPr="00ED550F">
              <w:t xml:space="preserve">Lãnh đạo </w:t>
            </w:r>
            <w:r>
              <w:t>Sở</w:t>
            </w:r>
            <w:r w:rsidRPr="00ED550F">
              <w:t xml:space="preserve"> xem xét hồ sơ và</w:t>
            </w:r>
            <w:r>
              <w:t xml:space="preserve"> phê</w:t>
            </w:r>
            <w:r w:rsidRPr="00ED550F">
              <w:t xml:space="preserve"> duyệt: </w:t>
            </w:r>
          </w:p>
          <w:p w14:paraId="7AE648F7" w14:textId="77777777" w:rsidR="00AA4018" w:rsidRPr="00B02E52" w:rsidRDefault="00AA4018" w:rsidP="00CD4ADE">
            <w:pPr>
              <w:jc w:val="both"/>
            </w:pPr>
            <w:r>
              <w:t xml:space="preserve">- </w:t>
            </w:r>
            <w:r w:rsidRPr="00B02E52">
              <w:t>Dự thảo thông báo nội dung khiếu nại</w:t>
            </w:r>
            <w:r>
              <w:t>;</w:t>
            </w:r>
          </w:p>
          <w:p w14:paraId="5BDB2CDE" w14:textId="77777777" w:rsidR="00255E30" w:rsidRDefault="00AA4018" w:rsidP="00CD4ADE">
            <w:pPr>
              <w:jc w:val="both"/>
            </w:pPr>
            <w:r>
              <w:t xml:space="preserve">Lãnh đạo Sở xem xét hồ sơ và trình duyệt: </w:t>
            </w:r>
          </w:p>
          <w:p w14:paraId="225146BF" w14:textId="6ED77CC9" w:rsidR="00AA4018" w:rsidRDefault="00255E30" w:rsidP="00CD4ADE">
            <w:pPr>
              <w:jc w:val="both"/>
            </w:pPr>
            <w:r>
              <w:t xml:space="preserve">- Tờ trình, </w:t>
            </w:r>
            <w:r w:rsidRPr="00B02E52">
              <w:t>Dự thảo Quyết định giải quyết khiếu nạ</w:t>
            </w:r>
            <w:r>
              <w:t>i hoặc Dự thảo</w:t>
            </w:r>
            <w:r w:rsidRPr="00B02E52">
              <w:t xml:space="preserve"> Quyết định đình chỉ giải quyết khiếu nại</w:t>
            </w:r>
          </w:p>
          <w:p w14:paraId="2313D2D9" w14:textId="77777777" w:rsidR="00AA4018" w:rsidRPr="00B02E52" w:rsidRDefault="00AA4018" w:rsidP="00CD4ADE">
            <w:pPr>
              <w:jc w:val="both"/>
            </w:pPr>
          </w:p>
          <w:p w14:paraId="4A8C90EB" w14:textId="77777777" w:rsidR="00AA4018" w:rsidRPr="00386D79" w:rsidRDefault="00AA4018" w:rsidP="00CD4ADE">
            <w:pPr>
              <w:rPr>
                <w:lang w:val="en"/>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DA06928" w14:textId="77777777" w:rsidR="00AA4018" w:rsidRPr="00386D79" w:rsidRDefault="00AA4018" w:rsidP="00CD4ADE">
            <w:pPr>
              <w:rPr>
                <w:lang w:val="en"/>
              </w:rPr>
            </w:pPr>
            <w:r w:rsidRPr="00386D79">
              <w:rPr>
                <w:lang w:val="en"/>
              </w:rPr>
              <w:t>Lãnh đạo Sở Khoa học và Công nghệ</w:t>
            </w:r>
          </w:p>
        </w:tc>
        <w:tc>
          <w:tcPr>
            <w:tcW w:w="1522" w:type="dxa"/>
            <w:tcBorders>
              <w:top w:val="single" w:sz="3" w:space="0" w:color="000000"/>
              <w:left w:val="single" w:sz="3" w:space="0" w:color="000000"/>
              <w:bottom w:val="single" w:sz="3" w:space="0" w:color="000000"/>
              <w:right w:val="single" w:sz="3" w:space="0" w:color="000000"/>
            </w:tcBorders>
            <w:vAlign w:val="center"/>
          </w:tcPr>
          <w:p w14:paraId="5DEED894" w14:textId="6788FD20" w:rsidR="00AA4018" w:rsidRPr="00386D79" w:rsidRDefault="00AA4018" w:rsidP="00CD4ADE">
            <w:pPr>
              <w:rPr>
                <w:lang w:val="en"/>
              </w:rPr>
            </w:pPr>
            <w:r>
              <w:rPr>
                <w:lang w:val="en"/>
              </w:rPr>
              <w:t>1</w:t>
            </w:r>
            <w:r w:rsidR="00AD7435">
              <w:rPr>
                <w:lang w:val="en"/>
              </w:rPr>
              <w:t>,5</w:t>
            </w:r>
            <w:r w:rsidRPr="00386D79">
              <w:rPr>
                <w:lang w:val="en"/>
              </w:rPr>
              <w:t xml:space="preserve"> ngày </w:t>
            </w:r>
          </w:p>
        </w:tc>
        <w:tc>
          <w:tcPr>
            <w:tcW w:w="2327" w:type="dxa"/>
            <w:tcBorders>
              <w:top w:val="single" w:sz="3" w:space="0" w:color="000000"/>
              <w:left w:val="single" w:sz="3" w:space="0" w:color="000000"/>
              <w:bottom w:val="single" w:sz="3" w:space="0" w:color="000000"/>
              <w:right w:val="single" w:sz="3" w:space="0" w:color="000000"/>
            </w:tcBorders>
            <w:vAlign w:val="center"/>
          </w:tcPr>
          <w:p w14:paraId="17E04CBB" w14:textId="653B7E6B" w:rsidR="00B4432E" w:rsidRPr="00B02E52" w:rsidRDefault="00B4432E" w:rsidP="00B4432E">
            <w:pPr>
              <w:jc w:val="both"/>
            </w:pPr>
            <w:r>
              <w:t>- T</w:t>
            </w:r>
            <w:r w:rsidRPr="00B02E52">
              <w:t>hông báo nội dung khiếu nại</w:t>
            </w:r>
            <w:r>
              <w:t>;</w:t>
            </w:r>
          </w:p>
          <w:p w14:paraId="57B992E5" w14:textId="231E2C27" w:rsidR="00AA4018" w:rsidRPr="00386D79" w:rsidRDefault="00B4432E" w:rsidP="00B4432E">
            <w:pPr>
              <w:jc w:val="both"/>
              <w:rPr>
                <w:lang w:val="en"/>
              </w:rPr>
            </w:pPr>
            <w:r>
              <w:t xml:space="preserve">- Tờ trình, </w:t>
            </w:r>
            <w:r w:rsidRPr="00B02E52">
              <w:t>Dự thảo Quyết định giải quyết khiếu nạ</w:t>
            </w:r>
            <w:r>
              <w:t>i hoặc Dự thảo</w:t>
            </w:r>
            <w:r w:rsidRPr="00B02E52">
              <w:t xml:space="preserve"> Quyết định đình chỉ giải quyết khiếu nại</w:t>
            </w:r>
            <w:r w:rsidR="00166C7F">
              <w:t>.</w:t>
            </w:r>
          </w:p>
        </w:tc>
      </w:tr>
      <w:tr w:rsidR="005E6427" w:rsidRPr="00386D79" w14:paraId="632B6DF0" w14:textId="77777777" w:rsidTr="003C66DB">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4F20D6C3" w14:textId="1C6E161D" w:rsidR="005E6427" w:rsidRPr="00386D79" w:rsidRDefault="005E6427" w:rsidP="005E6427">
            <w:pPr>
              <w:jc w:val="center"/>
              <w:rPr>
                <w:lang w:val="en"/>
              </w:rPr>
            </w:pPr>
            <w:r>
              <w:rPr>
                <w:lang w:val="en"/>
              </w:rPr>
              <w:t>Bước 6</w:t>
            </w:r>
          </w:p>
        </w:tc>
        <w:tc>
          <w:tcPr>
            <w:tcW w:w="7779" w:type="dxa"/>
            <w:tcBorders>
              <w:top w:val="single" w:sz="3" w:space="0" w:color="000000"/>
              <w:left w:val="single" w:sz="3" w:space="0" w:color="000000"/>
              <w:bottom w:val="single" w:sz="3" w:space="0" w:color="000000"/>
              <w:right w:val="single" w:sz="3" w:space="0" w:color="000000"/>
            </w:tcBorders>
          </w:tcPr>
          <w:p w14:paraId="4127B1B9" w14:textId="77777777" w:rsidR="005E6427" w:rsidRPr="00166C7F" w:rsidRDefault="005E6427" w:rsidP="005E6427">
            <w:pPr>
              <w:spacing w:before="60" w:after="60"/>
              <w:jc w:val="both"/>
              <w:rPr>
                <w:rFonts w:eastAsia="Calibri"/>
              </w:rPr>
            </w:pPr>
            <w:r w:rsidRPr="00166C7F">
              <w:rPr>
                <w:rFonts w:eastAsia="Calibri"/>
              </w:rPr>
              <w:t>UBND tỉnh phê duyệt kết quả thực hiện thủ tục hành chính:</w:t>
            </w:r>
          </w:p>
          <w:p w14:paraId="6011E0DA" w14:textId="38795E29" w:rsidR="00166C7F" w:rsidRPr="00166C7F" w:rsidRDefault="00166C7F" w:rsidP="005E6427">
            <w:pPr>
              <w:rPr>
                <w:rFonts w:eastAsia="Calibri"/>
              </w:rPr>
            </w:pPr>
            <w:r w:rsidRPr="00166C7F">
              <w:t>- Tờ trình, Dự thảo Quyết định giải quyết khiếu nại hoặc Dự thảo Quyết định đình chỉ giải quyết khiếu nại</w:t>
            </w:r>
          </w:p>
          <w:p w14:paraId="39DBD493" w14:textId="28EBEB68" w:rsidR="005E6427" w:rsidRPr="00255E30" w:rsidRDefault="005E6427" w:rsidP="005E6427">
            <w:pPr>
              <w:rPr>
                <w:color w:val="EE0000"/>
              </w:rPr>
            </w:pPr>
            <w:r w:rsidRPr="00166C7F">
              <w:rPr>
                <w:rFonts w:eastAsia="Calibri"/>
              </w:rPr>
              <w:t>Kết quả chuyển về cơ quan giải quyết TTHC để xử lý theo quy định.</w:t>
            </w:r>
          </w:p>
        </w:tc>
        <w:tc>
          <w:tcPr>
            <w:tcW w:w="1843" w:type="dxa"/>
            <w:tcBorders>
              <w:top w:val="single" w:sz="3" w:space="0" w:color="000000"/>
              <w:left w:val="single" w:sz="3" w:space="0" w:color="000000"/>
              <w:bottom w:val="single" w:sz="3" w:space="0" w:color="000000"/>
              <w:right w:val="single" w:sz="3" w:space="0" w:color="000000"/>
            </w:tcBorders>
            <w:vAlign w:val="center"/>
          </w:tcPr>
          <w:p w14:paraId="4176EE28" w14:textId="3E7328EA" w:rsidR="005E6427" w:rsidRPr="00386D79" w:rsidRDefault="005E6427" w:rsidP="005E6427">
            <w:pPr>
              <w:jc w:val="center"/>
              <w:rPr>
                <w:lang w:val="en"/>
              </w:rPr>
            </w:pPr>
            <w:r w:rsidRPr="00977965">
              <w:rPr>
                <w:rFonts w:eastAsia="Calibri"/>
              </w:rPr>
              <w:t>UBND tỉnh</w:t>
            </w:r>
          </w:p>
        </w:tc>
        <w:tc>
          <w:tcPr>
            <w:tcW w:w="1522" w:type="dxa"/>
            <w:tcBorders>
              <w:top w:val="single" w:sz="3" w:space="0" w:color="000000"/>
              <w:left w:val="single" w:sz="3" w:space="0" w:color="000000"/>
              <w:bottom w:val="single" w:sz="3" w:space="0" w:color="000000"/>
              <w:right w:val="single" w:sz="3" w:space="0" w:color="000000"/>
            </w:tcBorders>
            <w:vAlign w:val="center"/>
          </w:tcPr>
          <w:p w14:paraId="0A9B5DCF" w14:textId="5CE0BA83" w:rsidR="005E6427" w:rsidRDefault="005E6427" w:rsidP="005E6427">
            <w:pPr>
              <w:jc w:val="center"/>
              <w:rPr>
                <w:lang w:val="en"/>
              </w:rPr>
            </w:pPr>
            <w:r>
              <w:rPr>
                <w:lang w:val="en"/>
              </w:rPr>
              <w:t xml:space="preserve">05 ngày </w:t>
            </w:r>
          </w:p>
        </w:tc>
        <w:tc>
          <w:tcPr>
            <w:tcW w:w="2327" w:type="dxa"/>
            <w:tcBorders>
              <w:top w:val="single" w:sz="3" w:space="0" w:color="000000"/>
              <w:left w:val="single" w:sz="3" w:space="0" w:color="000000"/>
              <w:bottom w:val="single" w:sz="3" w:space="0" w:color="000000"/>
              <w:right w:val="single" w:sz="3" w:space="0" w:color="000000"/>
            </w:tcBorders>
            <w:vAlign w:val="center"/>
          </w:tcPr>
          <w:p w14:paraId="056A898C" w14:textId="31C8ADE1" w:rsidR="005E6427" w:rsidRDefault="005E6427" w:rsidP="005E6427">
            <w:pPr>
              <w:jc w:val="both"/>
            </w:pPr>
            <w:r>
              <w:t>-Quyết định giải quyết khiếu nại/ hoặc  Quyết định đình chỉ giải quyết khiếu nại</w:t>
            </w:r>
          </w:p>
        </w:tc>
      </w:tr>
      <w:tr w:rsidR="00AA4018" w:rsidRPr="00386D79" w14:paraId="1E771C04" w14:textId="77777777" w:rsidTr="00FD231C">
        <w:trPr>
          <w:trHeight w:val="1"/>
          <w:jc w:val="center"/>
        </w:trPr>
        <w:tc>
          <w:tcPr>
            <w:tcW w:w="993" w:type="dxa"/>
            <w:tcBorders>
              <w:top w:val="single" w:sz="3" w:space="0" w:color="000000"/>
              <w:left w:val="single" w:sz="3" w:space="0" w:color="000000"/>
              <w:bottom w:val="single" w:sz="3" w:space="0" w:color="000000"/>
              <w:right w:val="single" w:sz="3" w:space="0" w:color="000000"/>
            </w:tcBorders>
            <w:vAlign w:val="center"/>
          </w:tcPr>
          <w:p w14:paraId="1425853A" w14:textId="7BEA58CB" w:rsidR="00AA4018" w:rsidRPr="00386D79" w:rsidRDefault="00AA4018" w:rsidP="00CD4ADE">
            <w:pPr>
              <w:jc w:val="center"/>
              <w:rPr>
                <w:lang w:val="en"/>
              </w:rPr>
            </w:pPr>
            <w:r w:rsidRPr="00386D79">
              <w:rPr>
                <w:lang w:val="en"/>
              </w:rPr>
              <w:t xml:space="preserve">Bước </w:t>
            </w:r>
            <w:r w:rsidR="00084C57">
              <w:rPr>
                <w:lang w:val="en"/>
              </w:rPr>
              <w:t>7</w:t>
            </w:r>
          </w:p>
        </w:tc>
        <w:tc>
          <w:tcPr>
            <w:tcW w:w="7779" w:type="dxa"/>
            <w:tcBorders>
              <w:top w:val="single" w:sz="3" w:space="0" w:color="000000"/>
              <w:left w:val="single" w:sz="3" w:space="0" w:color="000000"/>
              <w:bottom w:val="single" w:sz="3" w:space="0" w:color="000000"/>
              <w:right w:val="single" w:sz="3" w:space="0" w:color="000000"/>
            </w:tcBorders>
            <w:vAlign w:val="center"/>
          </w:tcPr>
          <w:p w14:paraId="7E74D144" w14:textId="77777777" w:rsidR="00AA4018" w:rsidRPr="00255E30" w:rsidRDefault="00AA4018" w:rsidP="00CD4ADE">
            <w:pPr>
              <w:rPr>
                <w:color w:val="EE0000"/>
                <w:lang w:val="en"/>
              </w:rPr>
            </w:pPr>
            <w:r w:rsidRPr="00166C7F">
              <w:t xml:space="preserve">Văn thư và trả kết quả: </w:t>
            </w:r>
            <w:r w:rsidRPr="00166C7F">
              <w:br/>
              <w:t>- Công bố Quyết định giải quyết khiếu nại trên Cổng thông tin điện tử của tỉnh Bắc Ninh trong thời hạn 15 ngày và trên Công báo sở hữu công nghiệp trong thời hạn 01 tháng kể từ ngày ký quyết định.</w:t>
            </w:r>
          </w:p>
        </w:tc>
        <w:tc>
          <w:tcPr>
            <w:tcW w:w="1843" w:type="dxa"/>
            <w:tcBorders>
              <w:top w:val="single" w:sz="3" w:space="0" w:color="000000"/>
              <w:left w:val="single" w:sz="3" w:space="0" w:color="000000"/>
              <w:bottom w:val="single" w:sz="3" w:space="0" w:color="000000"/>
              <w:right w:val="single" w:sz="3" w:space="0" w:color="000000"/>
            </w:tcBorders>
            <w:vAlign w:val="center"/>
          </w:tcPr>
          <w:p w14:paraId="628D1DAE" w14:textId="77777777" w:rsidR="00AA4018" w:rsidRPr="00386D79" w:rsidRDefault="00AA4018" w:rsidP="00CD4ADE">
            <w:pPr>
              <w:jc w:val="center"/>
              <w:rPr>
                <w:lang w:val="en"/>
              </w:rPr>
            </w:pPr>
            <w:r w:rsidRPr="00386D79">
              <w:rPr>
                <w:lang w:val="en"/>
              </w:rPr>
              <w:t>Văn thư, Bộ phận Một cửa</w:t>
            </w:r>
          </w:p>
        </w:tc>
        <w:tc>
          <w:tcPr>
            <w:tcW w:w="1522" w:type="dxa"/>
            <w:tcBorders>
              <w:top w:val="single" w:sz="3" w:space="0" w:color="000000"/>
              <w:left w:val="single" w:sz="3" w:space="0" w:color="000000"/>
              <w:bottom w:val="single" w:sz="3" w:space="0" w:color="000000"/>
              <w:right w:val="single" w:sz="3" w:space="0" w:color="000000"/>
            </w:tcBorders>
            <w:vAlign w:val="center"/>
          </w:tcPr>
          <w:p w14:paraId="5AB87F57" w14:textId="666EC152" w:rsidR="00AA4018" w:rsidRPr="00386D79" w:rsidRDefault="00AD7435" w:rsidP="00CD4ADE">
            <w:pPr>
              <w:jc w:val="center"/>
              <w:rPr>
                <w:lang w:val="en"/>
              </w:rPr>
            </w:pPr>
            <w:r>
              <w:rPr>
                <w:lang w:val="en"/>
              </w:rPr>
              <w:t>0.5</w:t>
            </w:r>
            <w:r w:rsidR="00AA4018" w:rsidRPr="00386D79">
              <w:rPr>
                <w:lang w:val="en"/>
              </w:rPr>
              <w:t xml:space="preserve"> ngày </w:t>
            </w:r>
          </w:p>
        </w:tc>
        <w:tc>
          <w:tcPr>
            <w:tcW w:w="2327" w:type="dxa"/>
            <w:tcBorders>
              <w:top w:val="single" w:sz="3" w:space="0" w:color="000000"/>
              <w:left w:val="single" w:sz="3" w:space="0" w:color="000000"/>
              <w:bottom w:val="single" w:sz="3" w:space="0" w:color="000000"/>
              <w:right w:val="single" w:sz="3" w:space="0" w:color="000000"/>
            </w:tcBorders>
            <w:vAlign w:val="center"/>
          </w:tcPr>
          <w:p w14:paraId="72FA125B" w14:textId="77777777" w:rsidR="00AA4018" w:rsidRDefault="00AA4018" w:rsidP="00CD4ADE">
            <w:pPr>
              <w:jc w:val="both"/>
            </w:pPr>
            <w:r>
              <w:t>- Thông báo nội dung khiếu nại;</w:t>
            </w:r>
          </w:p>
          <w:p w14:paraId="39AF8B13" w14:textId="1B1FC803" w:rsidR="00AA4018" w:rsidRPr="00386D79" w:rsidRDefault="00AA4018" w:rsidP="00CD4ADE">
            <w:pPr>
              <w:jc w:val="both"/>
              <w:rPr>
                <w:lang w:val="en"/>
              </w:rPr>
            </w:pPr>
            <w:r>
              <w:t xml:space="preserve">-Quyết định giải quyết khiếu nại/ </w:t>
            </w:r>
            <w:r w:rsidR="00166C7F">
              <w:t>hoặc</w:t>
            </w:r>
            <w:r>
              <w:t xml:space="preserve"> Quyết định đình chỉ giải quyết khiếu nại.</w:t>
            </w:r>
          </w:p>
        </w:tc>
      </w:tr>
      <w:tr w:rsidR="00166C7F" w:rsidRPr="00386D79" w14:paraId="2388BF0A" w14:textId="77777777" w:rsidTr="00FB4318">
        <w:trPr>
          <w:trHeight w:val="1"/>
          <w:jc w:val="center"/>
        </w:trPr>
        <w:tc>
          <w:tcPr>
            <w:tcW w:w="8772" w:type="dxa"/>
            <w:gridSpan w:val="2"/>
            <w:tcBorders>
              <w:top w:val="single" w:sz="3" w:space="0" w:color="000000"/>
              <w:left w:val="single" w:sz="3" w:space="0" w:color="000000"/>
              <w:bottom w:val="single" w:sz="3" w:space="0" w:color="000000"/>
              <w:right w:val="single" w:sz="3" w:space="0" w:color="000000"/>
            </w:tcBorders>
            <w:vAlign w:val="center"/>
          </w:tcPr>
          <w:p w14:paraId="5A7A7D33" w14:textId="77777777" w:rsidR="00166C7F" w:rsidRPr="00386D79" w:rsidRDefault="00166C7F" w:rsidP="00CD4ADE">
            <w:pPr>
              <w:jc w:val="center"/>
              <w:rPr>
                <w:b/>
                <w:lang w:val="en"/>
              </w:rPr>
            </w:pPr>
            <w:r w:rsidRPr="00386D79">
              <w:rPr>
                <w:b/>
                <w:lang w:val="en"/>
              </w:rPr>
              <w:t>Tổng thời gian giải quyết TTHC</w:t>
            </w:r>
          </w:p>
        </w:tc>
        <w:tc>
          <w:tcPr>
            <w:tcW w:w="5692" w:type="dxa"/>
            <w:gridSpan w:val="3"/>
            <w:tcBorders>
              <w:top w:val="single" w:sz="3" w:space="0" w:color="000000"/>
              <w:left w:val="single" w:sz="3" w:space="0" w:color="000000"/>
              <w:bottom w:val="single" w:sz="3" w:space="0" w:color="000000"/>
              <w:right w:val="single" w:sz="3" w:space="0" w:color="000000"/>
            </w:tcBorders>
            <w:vAlign w:val="center"/>
          </w:tcPr>
          <w:p w14:paraId="36C25342" w14:textId="77777777" w:rsidR="00166C7F" w:rsidRDefault="00166C7F" w:rsidP="00166C7F">
            <w:pPr>
              <w:jc w:val="both"/>
              <w:rPr>
                <w:bCs/>
              </w:rPr>
            </w:pPr>
            <w:r w:rsidRPr="00166C7F">
              <w:rPr>
                <w:bCs/>
              </w:rPr>
              <w:t xml:space="preserve">- 10 ngày để ra thông báo thụ lý hoặc không thụ lý hồ sơ kể từ ngày tiếp nhận hồ sơ; </w:t>
            </w:r>
          </w:p>
          <w:p w14:paraId="32D034B2" w14:textId="77777777" w:rsidR="00166C7F" w:rsidRDefault="00166C7F" w:rsidP="00166C7F">
            <w:pPr>
              <w:jc w:val="both"/>
              <w:rPr>
                <w:bCs/>
              </w:rPr>
            </w:pPr>
            <w:r w:rsidRPr="00166C7F">
              <w:rPr>
                <w:bCs/>
              </w:rPr>
              <w:t xml:space="preserve">- 01 tháng kể từ ngày ra thông báo để người có quyền, lợi ích liên quan trực tiếp có ý kiến; </w:t>
            </w:r>
          </w:p>
          <w:p w14:paraId="3F257E0F" w14:textId="77777777" w:rsidR="00166C7F" w:rsidRDefault="00166C7F" w:rsidP="00166C7F">
            <w:pPr>
              <w:jc w:val="both"/>
              <w:rPr>
                <w:bCs/>
              </w:rPr>
            </w:pPr>
            <w:r w:rsidRPr="00166C7F">
              <w:rPr>
                <w:bCs/>
              </w:rPr>
              <w:t xml:space="preserve">- 30 ngày kể từ ngày thụ lý; đối với vụ việc phức tạp thì thời hạn này là 45 ngày (đối với khiếu nại lần thứ nhất); </w:t>
            </w:r>
          </w:p>
          <w:p w14:paraId="593363CE" w14:textId="78827092" w:rsidR="00166C7F" w:rsidRPr="00166C7F" w:rsidRDefault="00166C7F" w:rsidP="00166C7F">
            <w:pPr>
              <w:jc w:val="both"/>
              <w:rPr>
                <w:bCs/>
                <w:lang w:val="en"/>
              </w:rPr>
            </w:pPr>
            <w:r w:rsidRPr="00166C7F">
              <w:rPr>
                <w:bCs/>
              </w:rPr>
              <w:t xml:space="preserve">- 45 ngày kể từ ngày thụ lý; đối với vụ việc phức tạp thì thời hạn này là 60 ngày (đối với khiếu nại lần thứ hai). Thời gian để người khiếu nại, người bị khiếu nại, cơ quan, tổ chức, cá nhân có liên quan cung cấp ý kiến, thông tin, tài liệu và chứng cứ về nội dung khiếu nại, thời gian thực </w:t>
            </w:r>
            <w:r w:rsidRPr="00166C7F">
              <w:rPr>
                <w:bCs/>
              </w:rPr>
              <w:lastRenderedPageBreak/>
              <w:t>hiện trưng cầu giám định (nếu có), thời gian người khiếu nại sửa đổi, bổ sung hồ sơ khiếu nại không tính vào thời hạn giải quyết khiếu nại.</w:t>
            </w:r>
            <w:r w:rsidRPr="00166C7F">
              <w:rPr>
                <w:bCs/>
                <w:lang w:val="en"/>
              </w:rPr>
              <w:t xml:space="preserve"> </w:t>
            </w:r>
          </w:p>
        </w:tc>
      </w:tr>
    </w:tbl>
    <w:p w14:paraId="50159702" w14:textId="77777777" w:rsidR="00AA4018" w:rsidRPr="00386D79" w:rsidRDefault="00AA4018" w:rsidP="00AA4018"/>
    <w:p w14:paraId="31A75E70" w14:textId="77777777" w:rsidR="00DE06D5" w:rsidRDefault="00DE06D5" w:rsidP="001918F5">
      <w:pPr>
        <w:widowControl w:val="0"/>
        <w:spacing w:before="120" w:after="120"/>
        <w:jc w:val="both"/>
        <w:rPr>
          <w:b/>
        </w:rPr>
      </w:pPr>
    </w:p>
    <w:sectPr w:rsidR="00DE06D5" w:rsidSect="0002326B">
      <w:headerReference w:type="default" r:id="rId8"/>
      <w:pgSz w:w="16840" w:h="11907" w:orient="landscape" w:code="9"/>
      <w:pgMar w:top="1134" w:right="1134" w:bottom="1134" w:left="1134"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4688" w14:textId="77777777" w:rsidR="00A910BF" w:rsidRDefault="00A910BF" w:rsidP="0002326B">
      <w:r>
        <w:separator/>
      </w:r>
    </w:p>
  </w:endnote>
  <w:endnote w:type="continuationSeparator" w:id="0">
    <w:p w14:paraId="03E0AAB9" w14:textId="77777777" w:rsidR="00A910BF" w:rsidRDefault="00A910BF" w:rsidP="0002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7979" w14:textId="77777777" w:rsidR="00A910BF" w:rsidRDefault="00A910BF" w:rsidP="0002326B">
      <w:r>
        <w:separator/>
      </w:r>
    </w:p>
  </w:footnote>
  <w:footnote w:type="continuationSeparator" w:id="0">
    <w:p w14:paraId="2D7080FD" w14:textId="77777777" w:rsidR="00A910BF" w:rsidRDefault="00A910BF" w:rsidP="0002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685154"/>
      <w:docPartObj>
        <w:docPartGallery w:val="Page Numbers (Top of Page)"/>
        <w:docPartUnique/>
      </w:docPartObj>
    </w:sdtPr>
    <w:sdtContent>
      <w:p w14:paraId="454F89BA" w14:textId="77777777" w:rsidR="00AD36EC" w:rsidRDefault="00AD36EC">
        <w:pPr>
          <w:pStyle w:val="Header"/>
          <w:jc w:val="center"/>
        </w:pPr>
        <w:r>
          <w:fldChar w:fldCharType="begin"/>
        </w:r>
        <w:r>
          <w:instrText>PAGE   \* MERGEFORMAT</w:instrText>
        </w:r>
        <w:r>
          <w:fldChar w:fldCharType="separate"/>
        </w:r>
        <w:r w:rsidR="008F7040" w:rsidRPr="008F7040">
          <w:rPr>
            <w:noProof/>
            <w:lang w:val="vi-VN"/>
          </w:rPr>
          <w:t>47</w:t>
        </w:r>
        <w:r>
          <w:fldChar w:fldCharType="end"/>
        </w:r>
      </w:p>
    </w:sdtContent>
  </w:sdt>
  <w:p w14:paraId="17637C77" w14:textId="77777777" w:rsidR="00AD36EC" w:rsidRDefault="00AD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5B6A"/>
    <w:multiLevelType w:val="hybridMultilevel"/>
    <w:tmpl w:val="5AEA2CA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2AD2C68"/>
    <w:multiLevelType w:val="hybridMultilevel"/>
    <w:tmpl w:val="0A5A8430"/>
    <w:lvl w:ilvl="0" w:tplc="199E31E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462AB"/>
    <w:multiLevelType w:val="hybridMultilevel"/>
    <w:tmpl w:val="D29ADA7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419319">
    <w:abstractNumId w:val="2"/>
  </w:num>
  <w:num w:numId="2" w16cid:durableId="2078357397">
    <w:abstractNumId w:val="1"/>
  </w:num>
  <w:num w:numId="3" w16cid:durableId="108706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D4"/>
    <w:rsid w:val="00004DD4"/>
    <w:rsid w:val="00007207"/>
    <w:rsid w:val="000201B3"/>
    <w:rsid w:val="0002326B"/>
    <w:rsid w:val="00025F5A"/>
    <w:rsid w:val="00042585"/>
    <w:rsid w:val="000462CC"/>
    <w:rsid w:val="000463FD"/>
    <w:rsid w:val="00051677"/>
    <w:rsid w:val="0007105A"/>
    <w:rsid w:val="000723CF"/>
    <w:rsid w:val="00084C57"/>
    <w:rsid w:val="000910BE"/>
    <w:rsid w:val="000A259C"/>
    <w:rsid w:val="000A702E"/>
    <w:rsid w:val="000B30EB"/>
    <w:rsid w:val="000B7708"/>
    <w:rsid w:val="000D03A3"/>
    <w:rsid w:val="000D1183"/>
    <w:rsid w:val="000D60FC"/>
    <w:rsid w:val="000E16CF"/>
    <w:rsid w:val="000E3252"/>
    <w:rsid w:val="000E3F4C"/>
    <w:rsid w:val="000E4148"/>
    <w:rsid w:val="000E41BB"/>
    <w:rsid w:val="000E6DB1"/>
    <w:rsid w:val="00101E7C"/>
    <w:rsid w:val="00110F5A"/>
    <w:rsid w:val="00112AEB"/>
    <w:rsid w:val="0011606A"/>
    <w:rsid w:val="0012252F"/>
    <w:rsid w:val="00122E81"/>
    <w:rsid w:val="00130D93"/>
    <w:rsid w:val="00137340"/>
    <w:rsid w:val="001425DA"/>
    <w:rsid w:val="0015775D"/>
    <w:rsid w:val="00163CDC"/>
    <w:rsid w:val="00166C7F"/>
    <w:rsid w:val="0017351B"/>
    <w:rsid w:val="001774F2"/>
    <w:rsid w:val="001918F5"/>
    <w:rsid w:val="001939D2"/>
    <w:rsid w:val="001954A2"/>
    <w:rsid w:val="001A4137"/>
    <w:rsid w:val="001A7EE0"/>
    <w:rsid w:val="001B24EA"/>
    <w:rsid w:val="001D7ADF"/>
    <w:rsid w:val="001F131D"/>
    <w:rsid w:val="001F2A98"/>
    <w:rsid w:val="001F2D0F"/>
    <w:rsid w:val="002112EE"/>
    <w:rsid w:val="00226D0E"/>
    <w:rsid w:val="002315E1"/>
    <w:rsid w:val="00231BC3"/>
    <w:rsid w:val="00235AC8"/>
    <w:rsid w:val="002402E5"/>
    <w:rsid w:val="00241061"/>
    <w:rsid w:val="00255E30"/>
    <w:rsid w:val="00262EFB"/>
    <w:rsid w:val="00275B7D"/>
    <w:rsid w:val="002766A9"/>
    <w:rsid w:val="00283CF9"/>
    <w:rsid w:val="002873E9"/>
    <w:rsid w:val="0029286D"/>
    <w:rsid w:val="002C1ACF"/>
    <w:rsid w:val="002C1D78"/>
    <w:rsid w:val="002E1626"/>
    <w:rsid w:val="002F4232"/>
    <w:rsid w:val="002F6810"/>
    <w:rsid w:val="002F7F0E"/>
    <w:rsid w:val="00316B6E"/>
    <w:rsid w:val="00316E26"/>
    <w:rsid w:val="00316FE1"/>
    <w:rsid w:val="00317F0D"/>
    <w:rsid w:val="00330A6C"/>
    <w:rsid w:val="00346264"/>
    <w:rsid w:val="00346D8F"/>
    <w:rsid w:val="00347D38"/>
    <w:rsid w:val="0035281B"/>
    <w:rsid w:val="00355806"/>
    <w:rsid w:val="00356875"/>
    <w:rsid w:val="00360869"/>
    <w:rsid w:val="00360D4A"/>
    <w:rsid w:val="00365B8D"/>
    <w:rsid w:val="0036605C"/>
    <w:rsid w:val="00373FCE"/>
    <w:rsid w:val="00374FF5"/>
    <w:rsid w:val="00375D15"/>
    <w:rsid w:val="00382004"/>
    <w:rsid w:val="00385B5D"/>
    <w:rsid w:val="00387754"/>
    <w:rsid w:val="00392AA4"/>
    <w:rsid w:val="003963A0"/>
    <w:rsid w:val="00397B59"/>
    <w:rsid w:val="003A33A2"/>
    <w:rsid w:val="003A7C5C"/>
    <w:rsid w:val="003B3390"/>
    <w:rsid w:val="003C0A08"/>
    <w:rsid w:val="003C24E2"/>
    <w:rsid w:val="003C262D"/>
    <w:rsid w:val="003C4433"/>
    <w:rsid w:val="003C4793"/>
    <w:rsid w:val="003C70F7"/>
    <w:rsid w:val="003D3E2C"/>
    <w:rsid w:val="003E1FFB"/>
    <w:rsid w:val="003F08EB"/>
    <w:rsid w:val="003F1D0A"/>
    <w:rsid w:val="003F28FF"/>
    <w:rsid w:val="00401D9D"/>
    <w:rsid w:val="00403458"/>
    <w:rsid w:val="004045F5"/>
    <w:rsid w:val="00406851"/>
    <w:rsid w:val="00412205"/>
    <w:rsid w:val="00412BAD"/>
    <w:rsid w:val="00412C69"/>
    <w:rsid w:val="00417DEC"/>
    <w:rsid w:val="004263F4"/>
    <w:rsid w:val="004327C2"/>
    <w:rsid w:val="004330B0"/>
    <w:rsid w:val="00434E9B"/>
    <w:rsid w:val="004433BB"/>
    <w:rsid w:val="00445E65"/>
    <w:rsid w:val="00447CCE"/>
    <w:rsid w:val="00460493"/>
    <w:rsid w:val="004641BE"/>
    <w:rsid w:val="0047010F"/>
    <w:rsid w:val="004706AC"/>
    <w:rsid w:val="00474396"/>
    <w:rsid w:val="00474E24"/>
    <w:rsid w:val="00477FB2"/>
    <w:rsid w:val="00487EE9"/>
    <w:rsid w:val="00492853"/>
    <w:rsid w:val="00497E1F"/>
    <w:rsid w:val="004A2962"/>
    <w:rsid w:val="004B57C9"/>
    <w:rsid w:val="004C4306"/>
    <w:rsid w:val="004C63FB"/>
    <w:rsid w:val="004C6A4F"/>
    <w:rsid w:val="004F1495"/>
    <w:rsid w:val="004F512E"/>
    <w:rsid w:val="004F5F77"/>
    <w:rsid w:val="004F7509"/>
    <w:rsid w:val="0052128B"/>
    <w:rsid w:val="00521916"/>
    <w:rsid w:val="005269BB"/>
    <w:rsid w:val="00535555"/>
    <w:rsid w:val="005355EE"/>
    <w:rsid w:val="005427A1"/>
    <w:rsid w:val="00542E3D"/>
    <w:rsid w:val="0054461C"/>
    <w:rsid w:val="005460E5"/>
    <w:rsid w:val="00555709"/>
    <w:rsid w:val="00560499"/>
    <w:rsid w:val="00562C6B"/>
    <w:rsid w:val="005633F3"/>
    <w:rsid w:val="00566E7F"/>
    <w:rsid w:val="00577080"/>
    <w:rsid w:val="005836CC"/>
    <w:rsid w:val="005858E3"/>
    <w:rsid w:val="00587B18"/>
    <w:rsid w:val="005943DC"/>
    <w:rsid w:val="005A12AC"/>
    <w:rsid w:val="005A241D"/>
    <w:rsid w:val="005A7EFD"/>
    <w:rsid w:val="005B3D01"/>
    <w:rsid w:val="005B64C1"/>
    <w:rsid w:val="005C0A3F"/>
    <w:rsid w:val="005C0C7C"/>
    <w:rsid w:val="005C1385"/>
    <w:rsid w:val="005D03B2"/>
    <w:rsid w:val="005D0C98"/>
    <w:rsid w:val="005D2CC3"/>
    <w:rsid w:val="005D71E1"/>
    <w:rsid w:val="005E6427"/>
    <w:rsid w:val="005F590B"/>
    <w:rsid w:val="0060133E"/>
    <w:rsid w:val="00605C87"/>
    <w:rsid w:val="00610D93"/>
    <w:rsid w:val="006151C6"/>
    <w:rsid w:val="00617835"/>
    <w:rsid w:val="00624D4F"/>
    <w:rsid w:val="00634EAF"/>
    <w:rsid w:val="00640D88"/>
    <w:rsid w:val="00645F4D"/>
    <w:rsid w:val="00647B23"/>
    <w:rsid w:val="00651548"/>
    <w:rsid w:val="00671579"/>
    <w:rsid w:val="0067501C"/>
    <w:rsid w:val="00676557"/>
    <w:rsid w:val="00676DDD"/>
    <w:rsid w:val="00683B19"/>
    <w:rsid w:val="00684394"/>
    <w:rsid w:val="00693BC9"/>
    <w:rsid w:val="0069586F"/>
    <w:rsid w:val="006B29B7"/>
    <w:rsid w:val="006C0066"/>
    <w:rsid w:val="006C1506"/>
    <w:rsid w:val="006C7D31"/>
    <w:rsid w:val="006D0DE9"/>
    <w:rsid w:val="006D13E8"/>
    <w:rsid w:val="006D467F"/>
    <w:rsid w:val="006D4761"/>
    <w:rsid w:val="006D6345"/>
    <w:rsid w:val="006D65C7"/>
    <w:rsid w:val="006D760A"/>
    <w:rsid w:val="006E13B0"/>
    <w:rsid w:val="006E716B"/>
    <w:rsid w:val="007078CC"/>
    <w:rsid w:val="00717DA2"/>
    <w:rsid w:val="007321BE"/>
    <w:rsid w:val="00736011"/>
    <w:rsid w:val="00740E89"/>
    <w:rsid w:val="0074391F"/>
    <w:rsid w:val="007634EF"/>
    <w:rsid w:val="007666A6"/>
    <w:rsid w:val="00770A41"/>
    <w:rsid w:val="00775431"/>
    <w:rsid w:val="0077552D"/>
    <w:rsid w:val="0077742E"/>
    <w:rsid w:val="00777DD2"/>
    <w:rsid w:val="00790C1C"/>
    <w:rsid w:val="007930AB"/>
    <w:rsid w:val="007A19E2"/>
    <w:rsid w:val="007A317A"/>
    <w:rsid w:val="007A6A7F"/>
    <w:rsid w:val="007B2C30"/>
    <w:rsid w:val="007B5094"/>
    <w:rsid w:val="007B72D3"/>
    <w:rsid w:val="007B74FB"/>
    <w:rsid w:val="007C59E3"/>
    <w:rsid w:val="007C7A26"/>
    <w:rsid w:val="007D1AC3"/>
    <w:rsid w:val="007D66FE"/>
    <w:rsid w:val="007E0930"/>
    <w:rsid w:val="007F382E"/>
    <w:rsid w:val="007F62E5"/>
    <w:rsid w:val="00800E80"/>
    <w:rsid w:val="00803D98"/>
    <w:rsid w:val="00810595"/>
    <w:rsid w:val="008159EB"/>
    <w:rsid w:val="00820DF4"/>
    <w:rsid w:val="00822609"/>
    <w:rsid w:val="008228D7"/>
    <w:rsid w:val="0082679D"/>
    <w:rsid w:val="00827792"/>
    <w:rsid w:val="00830E7F"/>
    <w:rsid w:val="00831B51"/>
    <w:rsid w:val="008478C3"/>
    <w:rsid w:val="00855241"/>
    <w:rsid w:val="008667FD"/>
    <w:rsid w:val="00874E3B"/>
    <w:rsid w:val="008812A0"/>
    <w:rsid w:val="008827F6"/>
    <w:rsid w:val="00882EAD"/>
    <w:rsid w:val="00884946"/>
    <w:rsid w:val="00886BBC"/>
    <w:rsid w:val="00895D10"/>
    <w:rsid w:val="00895D33"/>
    <w:rsid w:val="008C0E33"/>
    <w:rsid w:val="008D7DCB"/>
    <w:rsid w:val="008E600E"/>
    <w:rsid w:val="008E64F6"/>
    <w:rsid w:val="008E6AFF"/>
    <w:rsid w:val="008F0229"/>
    <w:rsid w:val="008F171B"/>
    <w:rsid w:val="008F7040"/>
    <w:rsid w:val="008F7CF2"/>
    <w:rsid w:val="00905B49"/>
    <w:rsid w:val="009075AE"/>
    <w:rsid w:val="00910AE2"/>
    <w:rsid w:val="00916855"/>
    <w:rsid w:val="00934E9F"/>
    <w:rsid w:val="00946FE3"/>
    <w:rsid w:val="0095287E"/>
    <w:rsid w:val="00955947"/>
    <w:rsid w:val="00962C8E"/>
    <w:rsid w:val="009647D8"/>
    <w:rsid w:val="00976CDA"/>
    <w:rsid w:val="009813F5"/>
    <w:rsid w:val="00983367"/>
    <w:rsid w:val="009844BB"/>
    <w:rsid w:val="00990676"/>
    <w:rsid w:val="00995968"/>
    <w:rsid w:val="009966EC"/>
    <w:rsid w:val="00997262"/>
    <w:rsid w:val="009A2AF6"/>
    <w:rsid w:val="009A47F7"/>
    <w:rsid w:val="009B0F38"/>
    <w:rsid w:val="009B3D3D"/>
    <w:rsid w:val="009B7E7C"/>
    <w:rsid w:val="009C06E4"/>
    <w:rsid w:val="009C71BA"/>
    <w:rsid w:val="009D39D3"/>
    <w:rsid w:val="009D68AF"/>
    <w:rsid w:val="009E73AA"/>
    <w:rsid w:val="009F158B"/>
    <w:rsid w:val="00A0126F"/>
    <w:rsid w:val="00A02044"/>
    <w:rsid w:val="00A063AA"/>
    <w:rsid w:val="00A1023A"/>
    <w:rsid w:val="00A1344C"/>
    <w:rsid w:val="00A13AA7"/>
    <w:rsid w:val="00A22E21"/>
    <w:rsid w:val="00A24529"/>
    <w:rsid w:val="00A24CB1"/>
    <w:rsid w:val="00A266DD"/>
    <w:rsid w:val="00A340B3"/>
    <w:rsid w:val="00A34188"/>
    <w:rsid w:val="00A40617"/>
    <w:rsid w:val="00A45653"/>
    <w:rsid w:val="00A55D1F"/>
    <w:rsid w:val="00A60411"/>
    <w:rsid w:val="00A612DE"/>
    <w:rsid w:val="00A6496D"/>
    <w:rsid w:val="00A67A4D"/>
    <w:rsid w:val="00A67E71"/>
    <w:rsid w:val="00A76EF9"/>
    <w:rsid w:val="00A80EED"/>
    <w:rsid w:val="00A84590"/>
    <w:rsid w:val="00A910BF"/>
    <w:rsid w:val="00A94433"/>
    <w:rsid w:val="00A9670C"/>
    <w:rsid w:val="00AA4018"/>
    <w:rsid w:val="00AA6DBA"/>
    <w:rsid w:val="00AA7B18"/>
    <w:rsid w:val="00AA7FA4"/>
    <w:rsid w:val="00AB3ADE"/>
    <w:rsid w:val="00AB5EFF"/>
    <w:rsid w:val="00AB7431"/>
    <w:rsid w:val="00AC4129"/>
    <w:rsid w:val="00AC4F13"/>
    <w:rsid w:val="00AC55AB"/>
    <w:rsid w:val="00AC6C90"/>
    <w:rsid w:val="00AD36EC"/>
    <w:rsid w:val="00AD7435"/>
    <w:rsid w:val="00AE1C93"/>
    <w:rsid w:val="00AE23F0"/>
    <w:rsid w:val="00AF1D35"/>
    <w:rsid w:val="00B01BF8"/>
    <w:rsid w:val="00B01E3B"/>
    <w:rsid w:val="00B0340E"/>
    <w:rsid w:val="00B112DE"/>
    <w:rsid w:val="00B1160F"/>
    <w:rsid w:val="00B216D8"/>
    <w:rsid w:val="00B22A24"/>
    <w:rsid w:val="00B27F67"/>
    <w:rsid w:val="00B37051"/>
    <w:rsid w:val="00B41240"/>
    <w:rsid w:val="00B4432E"/>
    <w:rsid w:val="00B550D1"/>
    <w:rsid w:val="00B555E9"/>
    <w:rsid w:val="00B56056"/>
    <w:rsid w:val="00B56B2D"/>
    <w:rsid w:val="00B57D91"/>
    <w:rsid w:val="00B6019C"/>
    <w:rsid w:val="00B60563"/>
    <w:rsid w:val="00B672E9"/>
    <w:rsid w:val="00B678E6"/>
    <w:rsid w:val="00B7133C"/>
    <w:rsid w:val="00B74FC6"/>
    <w:rsid w:val="00B82EF6"/>
    <w:rsid w:val="00B90E9C"/>
    <w:rsid w:val="00B915E1"/>
    <w:rsid w:val="00B97B9C"/>
    <w:rsid w:val="00BA06A1"/>
    <w:rsid w:val="00BA36CA"/>
    <w:rsid w:val="00BA3791"/>
    <w:rsid w:val="00BB0810"/>
    <w:rsid w:val="00BB379D"/>
    <w:rsid w:val="00BB7678"/>
    <w:rsid w:val="00BC0AEB"/>
    <w:rsid w:val="00BC2250"/>
    <w:rsid w:val="00BC7E3F"/>
    <w:rsid w:val="00BD0002"/>
    <w:rsid w:val="00BD0A2C"/>
    <w:rsid w:val="00BD7B02"/>
    <w:rsid w:val="00BE26F0"/>
    <w:rsid w:val="00BE70DC"/>
    <w:rsid w:val="00BF0A8F"/>
    <w:rsid w:val="00BF20CA"/>
    <w:rsid w:val="00BF5BF0"/>
    <w:rsid w:val="00C11DF6"/>
    <w:rsid w:val="00C1369D"/>
    <w:rsid w:val="00C23662"/>
    <w:rsid w:val="00C247C5"/>
    <w:rsid w:val="00C30B4C"/>
    <w:rsid w:val="00C425C2"/>
    <w:rsid w:val="00C43C64"/>
    <w:rsid w:val="00C44951"/>
    <w:rsid w:val="00C46447"/>
    <w:rsid w:val="00C473D9"/>
    <w:rsid w:val="00C47C70"/>
    <w:rsid w:val="00C60B2C"/>
    <w:rsid w:val="00C676B6"/>
    <w:rsid w:val="00C725BF"/>
    <w:rsid w:val="00C75CEF"/>
    <w:rsid w:val="00C87C3F"/>
    <w:rsid w:val="00CA2949"/>
    <w:rsid w:val="00CB12C5"/>
    <w:rsid w:val="00CB263A"/>
    <w:rsid w:val="00CC59DA"/>
    <w:rsid w:val="00CD15A1"/>
    <w:rsid w:val="00CD1F7E"/>
    <w:rsid w:val="00CD780E"/>
    <w:rsid w:val="00CE0D7E"/>
    <w:rsid w:val="00CE367C"/>
    <w:rsid w:val="00CF2AA6"/>
    <w:rsid w:val="00D0494F"/>
    <w:rsid w:val="00D079C8"/>
    <w:rsid w:val="00D10FA1"/>
    <w:rsid w:val="00D11A70"/>
    <w:rsid w:val="00D23852"/>
    <w:rsid w:val="00D320F3"/>
    <w:rsid w:val="00D32BBA"/>
    <w:rsid w:val="00D4178B"/>
    <w:rsid w:val="00D43879"/>
    <w:rsid w:val="00D44F40"/>
    <w:rsid w:val="00D455C6"/>
    <w:rsid w:val="00D620E2"/>
    <w:rsid w:val="00D631FC"/>
    <w:rsid w:val="00D645F6"/>
    <w:rsid w:val="00D66C61"/>
    <w:rsid w:val="00D72A49"/>
    <w:rsid w:val="00D72F64"/>
    <w:rsid w:val="00D73D15"/>
    <w:rsid w:val="00D741DA"/>
    <w:rsid w:val="00D8120D"/>
    <w:rsid w:val="00D8336C"/>
    <w:rsid w:val="00D87626"/>
    <w:rsid w:val="00D96BED"/>
    <w:rsid w:val="00DA1F1A"/>
    <w:rsid w:val="00DB7C85"/>
    <w:rsid w:val="00DB7E1F"/>
    <w:rsid w:val="00DC0659"/>
    <w:rsid w:val="00DC225F"/>
    <w:rsid w:val="00DC2304"/>
    <w:rsid w:val="00DC2B69"/>
    <w:rsid w:val="00DC3EB8"/>
    <w:rsid w:val="00DC48AE"/>
    <w:rsid w:val="00DD0106"/>
    <w:rsid w:val="00DE06D5"/>
    <w:rsid w:val="00DE58DB"/>
    <w:rsid w:val="00DE6DE4"/>
    <w:rsid w:val="00DF796D"/>
    <w:rsid w:val="00E0128A"/>
    <w:rsid w:val="00E06A14"/>
    <w:rsid w:val="00E11F73"/>
    <w:rsid w:val="00E2241F"/>
    <w:rsid w:val="00E23D62"/>
    <w:rsid w:val="00E34315"/>
    <w:rsid w:val="00E35934"/>
    <w:rsid w:val="00E378F6"/>
    <w:rsid w:val="00E4243C"/>
    <w:rsid w:val="00E50E0B"/>
    <w:rsid w:val="00E535F8"/>
    <w:rsid w:val="00E53868"/>
    <w:rsid w:val="00E5488C"/>
    <w:rsid w:val="00E65C62"/>
    <w:rsid w:val="00E720CE"/>
    <w:rsid w:val="00E761A8"/>
    <w:rsid w:val="00E84546"/>
    <w:rsid w:val="00E84942"/>
    <w:rsid w:val="00E8765F"/>
    <w:rsid w:val="00E9423E"/>
    <w:rsid w:val="00E9480B"/>
    <w:rsid w:val="00EA048B"/>
    <w:rsid w:val="00EA3943"/>
    <w:rsid w:val="00EA57FF"/>
    <w:rsid w:val="00EA627F"/>
    <w:rsid w:val="00EB1AED"/>
    <w:rsid w:val="00EC1D05"/>
    <w:rsid w:val="00EC3650"/>
    <w:rsid w:val="00EC490C"/>
    <w:rsid w:val="00ED7614"/>
    <w:rsid w:val="00ED7632"/>
    <w:rsid w:val="00EE6B84"/>
    <w:rsid w:val="00EF507B"/>
    <w:rsid w:val="00EF50B7"/>
    <w:rsid w:val="00F004F9"/>
    <w:rsid w:val="00F02EF6"/>
    <w:rsid w:val="00F0563B"/>
    <w:rsid w:val="00F05725"/>
    <w:rsid w:val="00F07D48"/>
    <w:rsid w:val="00F13A08"/>
    <w:rsid w:val="00F14A9F"/>
    <w:rsid w:val="00F1790B"/>
    <w:rsid w:val="00F22B09"/>
    <w:rsid w:val="00F23610"/>
    <w:rsid w:val="00F2755B"/>
    <w:rsid w:val="00F305A3"/>
    <w:rsid w:val="00F31401"/>
    <w:rsid w:val="00F3660F"/>
    <w:rsid w:val="00F50C5D"/>
    <w:rsid w:val="00F53F9A"/>
    <w:rsid w:val="00F55519"/>
    <w:rsid w:val="00F56188"/>
    <w:rsid w:val="00F604B9"/>
    <w:rsid w:val="00F62658"/>
    <w:rsid w:val="00F62BB9"/>
    <w:rsid w:val="00F6330E"/>
    <w:rsid w:val="00F64376"/>
    <w:rsid w:val="00F719AA"/>
    <w:rsid w:val="00F73909"/>
    <w:rsid w:val="00F85CF3"/>
    <w:rsid w:val="00F945A0"/>
    <w:rsid w:val="00FA166E"/>
    <w:rsid w:val="00FA4A8E"/>
    <w:rsid w:val="00FB194B"/>
    <w:rsid w:val="00FB1FBF"/>
    <w:rsid w:val="00FB2442"/>
    <w:rsid w:val="00FB2EF8"/>
    <w:rsid w:val="00FB3C22"/>
    <w:rsid w:val="00FB3F99"/>
    <w:rsid w:val="00FD1818"/>
    <w:rsid w:val="00FD231C"/>
    <w:rsid w:val="00FE1287"/>
    <w:rsid w:val="00FE2D60"/>
    <w:rsid w:val="00FE6E34"/>
    <w:rsid w:val="00FF016A"/>
    <w:rsid w:val="00FF0779"/>
    <w:rsid w:val="00FF4905"/>
    <w:rsid w:val="00FF4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E1D3"/>
  <w15:docId w15:val="{678C4ECF-F02C-4433-8C21-2B3EE994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D4"/>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004D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004D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004DD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004DD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rPr>
  </w:style>
  <w:style w:type="paragraph" w:styleId="Heading5">
    <w:name w:val="heading 5"/>
    <w:basedOn w:val="Normal"/>
    <w:next w:val="Normal"/>
    <w:link w:val="Heading5Char"/>
    <w:uiPriority w:val="9"/>
    <w:semiHidden/>
    <w:unhideWhenUsed/>
    <w:qFormat/>
    <w:rsid w:val="00004DD4"/>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rPr>
  </w:style>
  <w:style w:type="paragraph" w:styleId="Heading6">
    <w:name w:val="heading 6"/>
    <w:basedOn w:val="Normal"/>
    <w:next w:val="Normal"/>
    <w:link w:val="Heading6Char"/>
    <w:uiPriority w:val="9"/>
    <w:semiHidden/>
    <w:unhideWhenUsed/>
    <w:qFormat/>
    <w:rsid w:val="00004DD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rPr>
  </w:style>
  <w:style w:type="paragraph" w:styleId="Heading7">
    <w:name w:val="heading 7"/>
    <w:basedOn w:val="Normal"/>
    <w:next w:val="Normal"/>
    <w:link w:val="Heading7Char"/>
    <w:uiPriority w:val="9"/>
    <w:semiHidden/>
    <w:unhideWhenUsed/>
    <w:qFormat/>
    <w:rsid w:val="00004DD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rPr>
  </w:style>
  <w:style w:type="paragraph" w:styleId="Heading8">
    <w:name w:val="heading 8"/>
    <w:basedOn w:val="Normal"/>
    <w:next w:val="Normal"/>
    <w:link w:val="Heading8Char"/>
    <w:uiPriority w:val="9"/>
    <w:semiHidden/>
    <w:unhideWhenUsed/>
    <w:qFormat/>
    <w:rsid w:val="00004DD4"/>
    <w:pPr>
      <w:keepNext/>
      <w:keepLines/>
      <w:spacing w:line="259" w:lineRule="auto"/>
      <w:outlineLvl w:val="7"/>
    </w:pPr>
    <w:rPr>
      <w:rFonts w:asciiTheme="minorHAnsi" w:eastAsiaTheme="majorEastAsia" w:hAnsiTheme="minorHAnsi" w:cstheme="majorBidi"/>
      <w:i/>
      <w:iCs/>
      <w:color w:val="272727" w:themeColor="text1" w:themeTint="D8"/>
      <w:kern w:val="2"/>
      <w:sz w:val="28"/>
      <w:szCs w:val="22"/>
    </w:rPr>
  </w:style>
  <w:style w:type="paragraph" w:styleId="Heading9">
    <w:name w:val="heading 9"/>
    <w:basedOn w:val="Normal"/>
    <w:next w:val="Normal"/>
    <w:link w:val="Heading9Char"/>
    <w:uiPriority w:val="9"/>
    <w:semiHidden/>
    <w:unhideWhenUsed/>
    <w:qFormat/>
    <w:rsid w:val="00004DD4"/>
    <w:pPr>
      <w:keepNext/>
      <w:keepLines/>
      <w:spacing w:line="259" w:lineRule="auto"/>
      <w:outlineLvl w:val="8"/>
    </w:pPr>
    <w:rPr>
      <w:rFonts w:asciiTheme="minorHAnsi" w:eastAsiaTheme="majorEastAsia" w:hAnsiTheme="minorHAnsi" w:cstheme="majorBidi"/>
      <w:color w:val="272727" w:themeColor="text1" w:themeTint="D8"/>
      <w:kern w:val="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DD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04D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4D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4D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D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D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D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D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D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04D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04DD4"/>
    <w:pPr>
      <w:spacing w:before="160" w:after="160" w:line="259" w:lineRule="auto"/>
      <w:jc w:val="center"/>
    </w:pPr>
    <w:rPr>
      <w:rFonts w:eastAsiaTheme="minorHAnsi" w:cstheme="minorBidi"/>
      <w:i/>
      <w:iCs/>
      <w:color w:val="404040" w:themeColor="text1" w:themeTint="BF"/>
      <w:kern w:val="2"/>
      <w:sz w:val="28"/>
      <w:szCs w:val="22"/>
    </w:rPr>
  </w:style>
  <w:style w:type="character" w:customStyle="1" w:styleId="QuoteChar">
    <w:name w:val="Quote Char"/>
    <w:basedOn w:val="DefaultParagraphFont"/>
    <w:link w:val="Quote"/>
    <w:uiPriority w:val="29"/>
    <w:rsid w:val="00004DD4"/>
    <w:rPr>
      <w:i/>
      <w:iCs/>
      <w:color w:val="404040" w:themeColor="text1" w:themeTint="BF"/>
    </w:rPr>
  </w:style>
  <w:style w:type="paragraph" w:styleId="ListParagraph">
    <w:name w:val="List Paragraph"/>
    <w:basedOn w:val="Normal"/>
    <w:uiPriority w:val="34"/>
    <w:qFormat/>
    <w:rsid w:val="00004DD4"/>
    <w:pPr>
      <w:spacing w:after="160" w:line="259" w:lineRule="auto"/>
      <w:ind w:left="720"/>
      <w:contextualSpacing/>
    </w:pPr>
    <w:rPr>
      <w:rFonts w:eastAsiaTheme="minorHAnsi" w:cstheme="minorBidi"/>
      <w:kern w:val="2"/>
      <w:sz w:val="28"/>
      <w:szCs w:val="22"/>
    </w:rPr>
  </w:style>
  <w:style w:type="character" w:styleId="IntenseEmphasis">
    <w:name w:val="Intense Emphasis"/>
    <w:basedOn w:val="DefaultParagraphFont"/>
    <w:uiPriority w:val="21"/>
    <w:qFormat/>
    <w:rsid w:val="00004DD4"/>
    <w:rPr>
      <w:i/>
      <w:iCs/>
      <w:color w:val="2F5496" w:themeColor="accent1" w:themeShade="BF"/>
    </w:rPr>
  </w:style>
  <w:style w:type="paragraph" w:styleId="IntenseQuote">
    <w:name w:val="Intense Quote"/>
    <w:basedOn w:val="Normal"/>
    <w:next w:val="Normal"/>
    <w:link w:val="IntenseQuoteChar"/>
    <w:uiPriority w:val="30"/>
    <w:qFormat/>
    <w:rsid w:val="00004D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rPr>
  </w:style>
  <w:style w:type="character" w:customStyle="1" w:styleId="IntenseQuoteChar">
    <w:name w:val="Intense Quote Char"/>
    <w:basedOn w:val="DefaultParagraphFont"/>
    <w:link w:val="IntenseQuote"/>
    <w:uiPriority w:val="30"/>
    <w:rsid w:val="00004DD4"/>
    <w:rPr>
      <w:i/>
      <w:iCs/>
      <w:color w:val="2F5496" w:themeColor="accent1" w:themeShade="BF"/>
    </w:rPr>
  </w:style>
  <w:style w:type="character" w:styleId="IntenseReference">
    <w:name w:val="Intense Reference"/>
    <w:basedOn w:val="DefaultParagraphFont"/>
    <w:uiPriority w:val="32"/>
    <w:qFormat/>
    <w:rsid w:val="00004DD4"/>
    <w:rPr>
      <w:b/>
      <w:bCs/>
      <w:smallCaps/>
      <w:color w:val="2F5496" w:themeColor="accent1" w:themeShade="BF"/>
      <w:spacing w:val="5"/>
    </w:rPr>
  </w:style>
  <w:style w:type="paragraph" w:styleId="Header">
    <w:name w:val="header"/>
    <w:basedOn w:val="Normal"/>
    <w:link w:val="HeaderChar"/>
    <w:uiPriority w:val="99"/>
    <w:unhideWhenUsed/>
    <w:rsid w:val="0002326B"/>
    <w:pPr>
      <w:tabs>
        <w:tab w:val="center" w:pos="4680"/>
        <w:tab w:val="right" w:pos="9360"/>
      </w:tabs>
    </w:pPr>
  </w:style>
  <w:style w:type="character" w:customStyle="1" w:styleId="HeaderChar">
    <w:name w:val="Header Char"/>
    <w:basedOn w:val="DefaultParagraphFont"/>
    <w:link w:val="Header"/>
    <w:uiPriority w:val="99"/>
    <w:rsid w:val="0002326B"/>
    <w:rPr>
      <w:rFonts w:eastAsia="Times New Roman" w:cs="Times New Roman"/>
      <w:kern w:val="0"/>
      <w:sz w:val="24"/>
      <w:szCs w:val="24"/>
    </w:rPr>
  </w:style>
  <w:style w:type="paragraph" w:styleId="Footer">
    <w:name w:val="footer"/>
    <w:basedOn w:val="Normal"/>
    <w:link w:val="FooterChar"/>
    <w:uiPriority w:val="99"/>
    <w:unhideWhenUsed/>
    <w:rsid w:val="0002326B"/>
    <w:pPr>
      <w:tabs>
        <w:tab w:val="center" w:pos="4680"/>
        <w:tab w:val="right" w:pos="9360"/>
      </w:tabs>
    </w:pPr>
  </w:style>
  <w:style w:type="character" w:customStyle="1" w:styleId="FooterChar">
    <w:name w:val="Footer Char"/>
    <w:basedOn w:val="DefaultParagraphFont"/>
    <w:link w:val="Footer"/>
    <w:uiPriority w:val="99"/>
    <w:rsid w:val="0002326B"/>
    <w:rPr>
      <w:rFonts w:eastAsia="Times New Roman" w:cs="Times New Roman"/>
      <w:kern w:val="0"/>
      <w:sz w:val="24"/>
      <w:szCs w:val="24"/>
    </w:rPr>
  </w:style>
  <w:style w:type="character" w:customStyle="1" w:styleId="fontstyle01">
    <w:name w:val="fontstyle01"/>
    <w:basedOn w:val="DefaultParagraphFont"/>
    <w:rsid w:val="00DC225F"/>
    <w:rPr>
      <w:rFonts w:ascii="TimesNewRomanPSMT" w:hAnsi="TimesNewRomanPSMT" w:hint="default"/>
      <w:b w:val="0"/>
      <w:bCs w:val="0"/>
      <w:i w:val="0"/>
      <w:iCs w:val="0"/>
      <w:color w:val="000000"/>
      <w:sz w:val="28"/>
      <w:szCs w:val="28"/>
    </w:rPr>
  </w:style>
  <w:style w:type="character" w:styleId="Hyperlink">
    <w:name w:val="Hyperlink"/>
    <w:uiPriority w:val="99"/>
    <w:unhideWhenUsed/>
    <w:rsid w:val="00AA4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0EC9-3F11-4F90-B06E-57B0519F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1407</Words>
  <Characters>8025</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Nguy?n Th? Kim Thoa</dc:creator>
  <cp:lastModifiedBy>Nguyễn Văn Đông</cp:lastModifiedBy>
  <cp:revision>139</cp:revision>
  <dcterms:created xsi:type="dcterms:W3CDTF">2025-11-11T02:30:00Z</dcterms:created>
  <dcterms:modified xsi:type="dcterms:W3CDTF">2026-04-17T06:58:00Z</dcterms:modified>
</cp:coreProperties>
</file>